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A8588" w14:textId="427E8817" w:rsidR="0096610D" w:rsidRPr="0096610D" w:rsidRDefault="0096610D" w:rsidP="0096610D">
      <w:pPr>
        <w:pStyle w:val="a3"/>
        <w:tabs>
          <w:tab w:val="right" w:pos="9639"/>
        </w:tabs>
        <w:jc w:val="both"/>
        <w:rPr>
          <w:rFonts w:ascii="Times New Roman" w:hAnsi="Times New Roman"/>
          <w:sz w:val="24"/>
          <w:lang w:eastAsia="zh-CN"/>
        </w:rPr>
      </w:pPr>
      <w:r w:rsidRPr="0096610D">
        <w:rPr>
          <w:rFonts w:ascii="Times New Roman" w:hAnsi="Times New Roman"/>
          <w:sz w:val="24"/>
          <w:lang w:eastAsia="zh-CN"/>
        </w:rPr>
        <w:t>3GPP TSG-RAN WG2 Meeting #</w:t>
      </w:r>
      <w:r w:rsidR="00F177E4" w:rsidRPr="0096610D">
        <w:rPr>
          <w:rFonts w:ascii="Times New Roman" w:hAnsi="Times New Roman"/>
          <w:sz w:val="24"/>
          <w:lang w:eastAsia="zh-CN"/>
        </w:rPr>
        <w:t>11</w:t>
      </w:r>
      <w:r w:rsidR="00F177E4">
        <w:rPr>
          <w:rFonts w:ascii="Times New Roman" w:hAnsi="Times New Roman"/>
          <w:sz w:val="24"/>
          <w:lang w:eastAsia="zh-CN"/>
        </w:rPr>
        <w:t>3</w:t>
      </w:r>
      <w:r w:rsidR="00F177E4" w:rsidRPr="0096610D">
        <w:rPr>
          <w:rFonts w:ascii="Times New Roman" w:hAnsi="Times New Roman"/>
          <w:sz w:val="24"/>
          <w:lang w:eastAsia="zh-CN"/>
        </w:rPr>
        <w:t xml:space="preserve"> </w:t>
      </w:r>
      <w:r w:rsidRPr="0096610D">
        <w:rPr>
          <w:rFonts w:ascii="Times New Roman" w:hAnsi="Times New Roman"/>
          <w:sz w:val="24"/>
          <w:lang w:eastAsia="zh-CN"/>
        </w:rPr>
        <w:t>electronic</w:t>
      </w:r>
      <w:r w:rsidRPr="0096610D">
        <w:rPr>
          <w:rFonts w:ascii="Times New Roman" w:hAnsi="Times New Roman"/>
          <w:sz w:val="24"/>
          <w:lang w:eastAsia="zh-CN"/>
        </w:rPr>
        <w:tab/>
      </w:r>
      <w:r w:rsidR="00C91406" w:rsidRPr="00C91406">
        <w:rPr>
          <w:rFonts w:ascii="Times New Roman" w:hAnsi="Times New Roman"/>
          <w:sz w:val="24"/>
          <w:lang w:eastAsia="zh-CN"/>
        </w:rPr>
        <w:t>R2-2101135</w:t>
      </w:r>
      <w:bookmarkStart w:id="0" w:name="_GoBack"/>
      <w:bookmarkEnd w:id="0"/>
    </w:p>
    <w:p w14:paraId="49718BB8" w14:textId="2011B0DE" w:rsidR="0096610D" w:rsidRPr="0096610D" w:rsidRDefault="0096610D" w:rsidP="0096610D">
      <w:pPr>
        <w:pStyle w:val="a3"/>
        <w:tabs>
          <w:tab w:val="right" w:pos="9639"/>
        </w:tabs>
        <w:jc w:val="both"/>
        <w:rPr>
          <w:rFonts w:ascii="Times New Roman" w:hAnsi="Times New Roman"/>
          <w:bCs/>
          <w:sz w:val="24"/>
          <w:lang w:eastAsia="zh-CN"/>
        </w:rPr>
      </w:pPr>
      <w:r w:rsidRPr="0096610D">
        <w:rPr>
          <w:rFonts w:ascii="Times New Roman" w:hAnsi="Times New Roman"/>
          <w:bCs/>
          <w:sz w:val="24"/>
          <w:lang w:eastAsia="zh-CN"/>
        </w:rPr>
        <w:t>Onli</w:t>
      </w:r>
      <w:r w:rsidRPr="0096610D">
        <w:rPr>
          <w:rFonts w:ascii="Times New Roman" w:hAnsi="Times New Roman"/>
          <w:bCs/>
          <w:sz w:val="24"/>
        </w:rPr>
        <w:t>ne</w:t>
      </w:r>
      <w:r w:rsidRPr="00F177E4">
        <w:rPr>
          <w:rFonts w:ascii="Times New Roman" w:hAnsi="Times New Roman"/>
          <w:bCs/>
          <w:sz w:val="24"/>
        </w:rPr>
        <w:t>,</w:t>
      </w:r>
      <w:r w:rsidRPr="00F177E4">
        <w:rPr>
          <w:rFonts w:ascii="Times New Roman" w:hAnsi="Times New Roman"/>
          <w:bCs/>
          <w:sz w:val="24"/>
          <w:lang w:eastAsia="zh-CN"/>
        </w:rPr>
        <w:t xml:space="preserve"> </w:t>
      </w:r>
      <w:r w:rsidR="00F177E4" w:rsidRPr="007D299A">
        <w:rPr>
          <w:rFonts w:ascii="Times New Roman" w:hAnsi="Times New Roman"/>
          <w:sz w:val="24"/>
        </w:rPr>
        <w:t>Jan 25</w:t>
      </w:r>
      <w:r w:rsidR="00F177E4" w:rsidRPr="007D299A">
        <w:rPr>
          <w:rFonts w:ascii="Times New Roman" w:hAnsi="Times New Roman"/>
          <w:sz w:val="24"/>
          <w:vertAlign w:val="superscript"/>
        </w:rPr>
        <w:t>th</w:t>
      </w:r>
      <w:r w:rsidR="00F177E4" w:rsidRPr="007D299A">
        <w:rPr>
          <w:rFonts w:ascii="Times New Roman" w:hAnsi="Times New Roman"/>
          <w:sz w:val="24"/>
        </w:rPr>
        <w:t xml:space="preserve"> – Feb 5</w:t>
      </w:r>
      <w:r w:rsidR="00F177E4" w:rsidRPr="007D299A">
        <w:rPr>
          <w:rFonts w:ascii="Times New Roman" w:hAnsi="Times New Roman"/>
          <w:sz w:val="24"/>
          <w:vertAlign w:val="superscript"/>
        </w:rPr>
        <w:t>th</w:t>
      </w:r>
      <w:r w:rsidRPr="0096610D">
        <w:rPr>
          <w:rFonts w:ascii="Times New Roman" w:hAnsi="Times New Roman"/>
          <w:bCs/>
          <w:sz w:val="24"/>
          <w:lang w:eastAsia="zh-CN"/>
        </w:rPr>
        <w:t xml:space="preserve">, </w:t>
      </w:r>
      <w:r w:rsidR="00F177E4" w:rsidRPr="0096610D">
        <w:rPr>
          <w:rFonts w:ascii="Times New Roman" w:hAnsi="Times New Roman"/>
          <w:bCs/>
          <w:sz w:val="24"/>
          <w:lang w:eastAsia="zh-CN"/>
        </w:rPr>
        <w:t>202</w:t>
      </w:r>
      <w:r w:rsidR="00F177E4">
        <w:rPr>
          <w:rFonts w:ascii="Times New Roman" w:hAnsi="Times New Roman"/>
          <w:bCs/>
          <w:sz w:val="24"/>
          <w:lang w:eastAsia="zh-CN"/>
        </w:rPr>
        <w:t>1</w:t>
      </w:r>
      <w:r w:rsidR="00F177E4" w:rsidRPr="0096610D">
        <w:rPr>
          <w:rFonts w:ascii="Times New Roman" w:hAnsi="Times New Roman"/>
          <w:bCs/>
          <w:sz w:val="24"/>
          <w:lang w:eastAsia="zh-CN"/>
        </w:rPr>
        <w:t xml:space="preserve">                                                     </w:t>
      </w:r>
    </w:p>
    <w:p w14:paraId="2409FF77" w14:textId="77777777" w:rsidR="0096610D" w:rsidRPr="0096610D" w:rsidRDefault="0096610D" w:rsidP="0096610D">
      <w:pPr>
        <w:rPr>
          <w:rFonts w:ascii="Times New Roman" w:hAnsi="Times New Roman"/>
          <w:b/>
          <w:color w:val="000000"/>
          <w:sz w:val="24"/>
          <w:szCs w:val="24"/>
        </w:rPr>
      </w:pPr>
    </w:p>
    <w:p w14:paraId="2E9A481B" w14:textId="2D5DF151" w:rsidR="0096610D" w:rsidRPr="0096610D" w:rsidRDefault="0096610D" w:rsidP="0096610D">
      <w:pPr>
        <w:pStyle w:val="CRCoverPage"/>
        <w:spacing w:after="0"/>
        <w:jc w:val="both"/>
        <w:rPr>
          <w:rFonts w:ascii="Times New Roman" w:eastAsia="宋体" w:hAnsi="Times New Roman"/>
          <w:b/>
          <w:bCs/>
          <w:sz w:val="24"/>
          <w:lang w:eastAsia="zh-CN"/>
        </w:rPr>
      </w:pPr>
      <w:r w:rsidRPr="0096610D">
        <w:rPr>
          <w:rFonts w:ascii="Times New Roman" w:hAnsi="Times New Roman"/>
          <w:b/>
          <w:bCs/>
          <w:sz w:val="24"/>
        </w:rPr>
        <w:t>Agenda</w:t>
      </w:r>
      <w:r w:rsidRPr="0096610D">
        <w:rPr>
          <w:rFonts w:ascii="Times New Roman" w:eastAsia="宋体" w:hAnsi="Times New Roman"/>
          <w:b/>
          <w:bCs/>
          <w:kern w:val="2"/>
          <w:sz w:val="24"/>
          <w:szCs w:val="22"/>
          <w:lang w:val="en-US" w:eastAsia="zh-CN"/>
        </w:rPr>
        <w:t xml:space="preserve"> item:</w:t>
      </w:r>
      <w:r w:rsidRPr="0096610D">
        <w:rPr>
          <w:rFonts w:ascii="Times New Roman" w:eastAsia="宋体" w:hAnsi="Times New Roman"/>
          <w:b/>
          <w:bCs/>
          <w:kern w:val="2"/>
          <w:sz w:val="24"/>
          <w:szCs w:val="22"/>
          <w:lang w:val="en-US" w:eastAsia="zh-CN"/>
        </w:rPr>
        <w:tab/>
      </w:r>
      <w:r w:rsidRPr="0096610D">
        <w:rPr>
          <w:rFonts w:ascii="Times New Roman" w:eastAsia="宋体" w:hAnsi="Times New Roman"/>
          <w:b/>
          <w:bCs/>
          <w:kern w:val="2"/>
          <w:sz w:val="24"/>
          <w:szCs w:val="22"/>
          <w:lang w:val="en-US" w:eastAsia="zh-CN"/>
        </w:rPr>
        <w:tab/>
        <w:t>8.</w:t>
      </w:r>
      <w:r>
        <w:rPr>
          <w:rFonts w:ascii="Times New Roman" w:eastAsia="宋体" w:hAnsi="Times New Roman"/>
          <w:b/>
          <w:bCs/>
          <w:kern w:val="2"/>
          <w:sz w:val="24"/>
          <w:szCs w:val="22"/>
          <w:lang w:val="en-US" w:eastAsia="zh-CN"/>
        </w:rPr>
        <w:t>12</w:t>
      </w:r>
      <w:r w:rsidRPr="0096610D">
        <w:rPr>
          <w:rFonts w:ascii="Times New Roman" w:eastAsia="宋体" w:hAnsi="Times New Roman"/>
          <w:b/>
          <w:bCs/>
          <w:kern w:val="2"/>
          <w:sz w:val="24"/>
          <w:szCs w:val="22"/>
          <w:lang w:val="en-US" w:eastAsia="zh-CN"/>
        </w:rPr>
        <w:t>.2</w:t>
      </w:r>
      <w:r w:rsidR="000679A2">
        <w:rPr>
          <w:rFonts w:ascii="Times New Roman" w:eastAsia="宋体" w:hAnsi="Times New Roman"/>
          <w:b/>
          <w:bCs/>
          <w:kern w:val="2"/>
          <w:sz w:val="24"/>
          <w:szCs w:val="22"/>
          <w:lang w:val="en-US" w:eastAsia="zh-CN"/>
        </w:rPr>
        <w:t>.</w:t>
      </w:r>
      <w:r w:rsidR="00D652DE">
        <w:rPr>
          <w:rFonts w:ascii="Times New Roman" w:eastAsia="宋体" w:hAnsi="Times New Roman"/>
          <w:b/>
          <w:bCs/>
          <w:kern w:val="2"/>
          <w:sz w:val="24"/>
          <w:szCs w:val="22"/>
          <w:lang w:val="en-US" w:eastAsia="zh-CN"/>
        </w:rPr>
        <w:t>2</w:t>
      </w:r>
    </w:p>
    <w:p w14:paraId="6FCCFF69"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Source:</w:t>
      </w:r>
      <w:r w:rsidRPr="0096610D">
        <w:rPr>
          <w:rFonts w:ascii="Times New Roman" w:hAnsi="Times New Roman"/>
          <w:b/>
          <w:bCs/>
          <w:sz w:val="24"/>
        </w:rPr>
        <w:tab/>
      </w:r>
      <w:r w:rsidRPr="0096610D">
        <w:rPr>
          <w:rFonts w:ascii="Times New Roman" w:hAnsi="Times New Roman"/>
          <w:b/>
          <w:bCs/>
          <w:sz w:val="24"/>
        </w:rPr>
        <w:tab/>
      </w:r>
      <w:bookmarkStart w:id="1" w:name="OLE_LINK23"/>
      <w:bookmarkStart w:id="2" w:name="OLE_LINK24"/>
      <w:r w:rsidRPr="0096610D">
        <w:rPr>
          <w:rFonts w:ascii="Times New Roman" w:hAnsi="Times New Roman"/>
          <w:b/>
          <w:bCs/>
          <w:sz w:val="24"/>
        </w:rPr>
        <w:t>Lenovo, Motorola Mobility</w:t>
      </w:r>
      <w:bookmarkEnd w:id="1"/>
      <w:bookmarkEnd w:id="2"/>
    </w:p>
    <w:p w14:paraId="266F438D" w14:textId="1F6F0E27" w:rsidR="0096610D" w:rsidRPr="0096610D" w:rsidRDefault="0096610D" w:rsidP="0096610D">
      <w:pPr>
        <w:spacing w:beforeLines="50" w:before="156" w:afterLines="50" w:after="156"/>
        <w:rPr>
          <w:rFonts w:ascii="Times New Roman" w:hAnsi="Times New Roman"/>
          <w:b/>
          <w:bCs/>
          <w:sz w:val="24"/>
          <w:lang w:val="en-GB"/>
        </w:rPr>
      </w:pPr>
      <w:r w:rsidRPr="0096610D">
        <w:rPr>
          <w:rFonts w:ascii="Times New Roman" w:hAnsi="Times New Roman"/>
          <w:b/>
          <w:bCs/>
          <w:sz w:val="24"/>
        </w:rPr>
        <w:t>Title:</w:t>
      </w:r>
      <w:r w:rsidRPr="0096610D">
        <w:rPr>
          <w:rFonts w:ascii="Times New Roman" w:hAnsi="Times New Roman"/>
          <w:b/>
          <w:bCs/>
          <w:sz w:val="24"/>
        </w:rPr>
        <w:tab/>
      </w:r>
      <w:r w:rsidRPr="0096610D">
        <w:rPr>
          <w:rFonts w:ascii="Times New Roman" w:hAnsi="Times New Roman"/>
          <w:b/>
          <w:bCs/>
          <w:sz w:val="24"/>
        </w:rPr>
        <w:tab/>
        <w:t xml:space="preserve">       </w:t>
      </w:r>
      <w:r w:rsidR="00D652DE">
        <w:rPr>
          <w:rFonts w:ascii="Times New Roman" w:hAnsi="Times New Roman"/>
          <w:b/>
          <w:bCs/>
          <w:sz w:val="24"/>
        </w:rPr>
        <w:t>UAC enhancement for</w:t>
      </w:r>
      <w:r w:rsidR="000679A2" w:rsidRPr="000679A2">
        <w:rPr>
          <w:rFonts w:ascii="Times New Roman" w:hAnsi="Times New Roman"/>
          <w:b/>
          <w:bCs/>
          <w:sz w:val="24"/>
        </w:rPr>
        <w:t xml:space="preserve"> </w:t>
      </w:r>
      <w:r w:rsidR="00D652DE">
        <w:rPr>
          <w:rFonts w:ascii="Times New Roman" w:hAnsi="Times New Roman"/>
          <w:b/>
          <w:bCs/>
          <w:sz w:val="24"/>
        </w:rPr>
        <w:t>REDCAP UEs</w:t>
      </w:r>
    </w:p>
    <w:p w14:paraId="157F3AFD"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Document for:</w:t>
      </w:r>
      <w:r w:rsidRPr="0096610D">
        <w:rPr>
          <w:rFonts w:ascii="Times New Roman" w:hAnsi="Times New Roman"/>
          <w:b/>
          <w:bCs/>
          <w:sz w:val="24"/>
        </w:rPr>
        <w:tab/>
      </w:r>
      <w:r w:rsidRPr="0096610D">
        <w:rPr>
          <w:rFonts w:ascii="Times New Roman" w:hAnsi="Times New Roman"/>
          <w:b/>
          <w:bCs/>
          <w:sz w:val="24"/>
        </w:rPr>
        <w:tab/>
        <w:t>Discussion and Decision</w:t>
      </w:r>
    </w:p>
    <w:p w14:paraId="00E56C49" w14:textId="479AA285" w:rsidR="0096610D" w:rsidRPr="0096610D" w:rsidRDefault="0092224B" w:rsidP="00527D8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31354F" w14:textId="2E426DEB" w:rsidR="006160E2" w:rsidRPr="006160E2"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In RAN</w:t>
      </w:r>
      <w:r w:rsidR="002F46EC">
        <w:rPr>
          <w:rFonts w:ascii="Times New Roman" w:hAnsi="Times New Roman"/>
          <w:sz w:val="20"/>
          <w:szCs w:val="20"/>
          <w:lang w:val="en-GB"/>
        </w:rPr>
        <w:t>2</w:t>
      </w:r>
      <w:r w:rsidRPr="006160E2">
        <w:rPr>
          <w:rFonts w:ascii="Times New Roman" w:hAnsi="Times New Roman"/>
          <w:sz w:val="20"/>
          <w:szCs w:val="20"/>
          <w:lang w:val="en-GB"/>
        </w:rPr>
        <w:t>#</w:t>
      </w:r>
      <w:r w:rsidR="006A0E16">
        <w:rPr>
          <w:rFonts w:ascii="Times New Roman" w:hAnsi="Times New Roman"/>
          <w:sz w:val="20"/>
          <w:szCs w:val="20"/>
          <w:lang w:val="en-GB"/>
        </w:rPr>
        <w:t>112</w:t>
      </w:r>
      <w:r w:rsidR="002F46EC">
        <w:rPr>
          <w:rFonts w:ascii="Times New Roman" w:hAnsi="Times New Roman"/>
          <w:sz w:val="20"/>
          <w:szCs w:val="20"/>
          <w:lang w:val="en-GB"/>
        </w:rPr>
        <w:t>-e</w:t>
      </w:r>
      <w:r w:rsidRPr="006160E2">
        <w:rPr>
          <w:rFonts w:ascii="Times New Roman" w:hAnsi="Times New Roman"/>
          <w:sz w:val="20"/>
          <w:szCs w:val="20"/>
          <w:lang w:val="en-GB"/>
        </w:rPr>
        <w:t xml:space="preserve">, </w:t>
      </w:r>
      <w:r w:rsidR="002F46EC">
        <w:rPr>
          <w:rFonts w:ascii="Times New Roman" w:hAnsi="Times New Roman"/>
          <w:sz w:val="20"/>
          <w:szCs w:val="20"/>
          <w:lang w:val="en-GB"/>
        </w:rPr>
        <w:t xml:space="preserve">the UAC for REDCAP UEs </w:t>
      </w:r>
      <w:r w:rsidR="001314FE">
        <w:rPr>
          <w:rFonts w:ascii="Times New Roman" w:hAnsi="Times New Roman"/>
          <w:sz w:val="20"/>
          <w:szCs w:val="20"/>
          <w:lang w:val="en-GB"/>
        </w:rPr>
        <w:t xml:space="preserve">was </w:t>
      </w:r>
      <w:r w:rsidR="006A0E16">
        <w:rPr>
          <w:rFonts w:ascii="Times New Roman" w:hAnsi="Times New Roman"/>
          <w:sz w:val="20"/>
          <w:szCs w:val="20"/>
          <w:lang w:val="en-GB"/>
        </w:rPr>
        <w:t xml:space="preserve">further </w:t>
      </w:r>
      <w:r w:rsidR="002F46EC">
        <w:rPr>
          <w:rFonts w:ascii="Times New Roman" w:hAnsi="Times New Roman"/>
          <w:sz w:val="20"/>
          <w:szCs w:val="20"/>
          <w:lang w:val="en-GB"/>
        </w:rPr>
        <w:t xml:space="preserve">discussed and </w:t>
      </w:r>
      <w:r w:rsidR="006A0E16">
        <w:rPr>
          <w:rFonts w:ascii="Times New Roman" w:hAnsi="Times New Roman"/>
          <w:sz w:val="20"/>
          <w:szCs w:val="20"/>
          <w:lang w:val="en-GB"/>
        </w:rPr>
        <w:t xml:space="preserve">companies considered that </w:t>
      </w:r>
      <w:r w:rsidR="006A0E16" w:rsidRPr="006A0E16">
        <w:rPr>
          <w:rFonts w:ascii="Times New Roman" w:hAnsi="Times New Roman"/>
          <w:sz w:val="20"/>
          <w:szCs w:val="20"/>
          <w:lang w:val="en-GB"/>
        </w:rPr>
        <w:t xml:space="preserve">UAC </w:t>
      </w:r>
      <w:r w:rsidR="006A0E16">
        <w:rPr>
          <w:rFonts w:ascii="Times New Roman" w:hAnsi="Times New Roman"/>
          <w:sz w:val="20"/>
          <w:szCs w:val="20"/>
          <w:lang w:val="en-GB"/>
        </w:rPr>
        <w:t>has</w:t>
      </w:r>
      <w:r w:rsidR="006A0E16" w:rsidRPr="006A0E16">
        <w:rPr>
          <w:rFonts w:ascii="Times New Roman" w:hAnsi="Times New Roman"/>
          <w:sz w:val="20"/>
          <w:szCs w:val="20"/>
          <w:lang w:val="en-GB"/>
        </w:rPr>
        <w:t xml:space="preserve"> not </w:t>
      </w:r>
      <w:r w:rsidR="006A0E16">
        <w:rPr>
          <w:rFonts w:ascii="Times New Roman" w:hAnsi="Times New Roman"/>
          <w:sz w:val="20"/>
          <w:szCs w:val="20"/>
          <w:lang w:val="en-GB"/>
        </w:rPr>
        <w:t xml:space="preserve">been discussed in RAN2 in detail yet </w:t>
      </w:r>
      <w:r w:rsidR="003D02F9">
        <w:rPr>
          <w:rFonts w:ascii="Times New Roman" w:hAnsi="Times New Roman"/>
          <w:sz w:val="20"/>
          <w:szCs w:val="20"/>
          <w:lang w:val="en-GB"/>
        </w:rPr>
        <w:t>[1]</w:t>
      </w:r>
      <w:r w:rsidR="002F46EC">
        <w:rPr>
          <w:rFonts w:ascii="Times New Roman" w:hAnsi="Times New Roman"/>
          <w:sz w:val="20"/>
          <w:szCs w:val="20"/>
          <w:lang w:val="en-GB"/>
        </w:rPr>
        <w:t xml:space="preserve">. </w:t>
      </w:r>
    </w:p>
    <w:p w14:paraId="6DC2EECC" w14:textId="77777777" w:rsidR="006A0E16" w:rsidRDefault="006A0E16" w:rsidP="006A0E16">
      <w:pPr>
        <w:pStyle w:val="Doc-text2"/>
        <w:pBdr>
          <w:top w:val="single" w:sz="4" w:space="1" w:color="auto"/>
          <w:left w:val="single" w:sz="4" w:space="4" w:color="auto"/>
          <w:bottom w:val="single" w:sz="4" w:space="1" w:color="auto"/>
          <w:right w:val="single" w:sz="4" w:space="4" w:color="auto"/>
        </w:pBdr>
      </w:pPr>
      <w:r>
        <w:t>Agreements:</w:t>
      </w:r>
    </w:p>
    <w:p w14:paraId="6A4FFCB2" w14:textId="77777777" w:rsidR="006A0E16" w:rsidRDefault="006A0E16" w:rsidP="006A0E16">
      <w:pPr>
        <w:pStyle w:val="Doc-text2"/>
        <w:numPr>
          <w:ilvl w:val="0"/>
          <w:numId w:val="30"/>
        </w:numPr>
        <w:pBdr>
          <w:top w:val="single" w:sz="4" w:space="1" w:color="auto"/>
          <w:left w:val="single" w:sz="4" w:space="4" w:color="auto"/>
          <w:bottom w:val="single" w:sz="4" w:space="1" w:color="auto"/>
          <w:right w:val="single" w:sz="4" w:space="4" w:color="auto"/>
        </w:pBdr>
      </w:pPr>
      <w:r>
        <w:t>Include the possible options (msg1, msg3, msg5) in the TP without saying anything on RAN2 preferences on when identification is required</w:t>
      </w:r>
    </w:p>
    <w:p w14:paraId="199E2AC8" w14:textId="77777777" w:rsidR="006A0E16" w:rsidRDefault="006A0E16" w:rsidP="006A0E16">
      <w:pPr>
        <w:pStyle w:val="Doc-text2"/>
        <w:numPr>
          <w:ilvl w:val="0"/>
          <w:numId w:val="30"/>
        </w:numPr>
        <w:pBdr>
          <w:top w:val="single" w:sz="4" w:space="1" w:color="auto"/>
          <w:left w:val="single" w:sz="4" w:space="4" w:color="auto"/>
          <w:bottom w:val="single" w:sz="4" w:space="1" w:color="auto"/>
          <w:right w:val="single" w:sz="4" w:space="4" w:color="auto"/>
        </w:pBdr>
      </w:pPr>
      <w:r>
        <w:t>Do not send a LS on RedCap UE identification to RAN1 and wait for more RAN1 process</w:t>
      </w:r>
    </w:p>
    <w:p w14:paraId="63DC06A2" w14:textId="77777777" w:rsidR="006A0E16" w:rsidRDefault="006A0E16" w:rsidP="006A0E16">
      <w:pPr>
        <w:pStyle w:val="Doc-text2"/>
        <w:numPr>
          <w:ilvl w:val="0"/>
          <w:numId w:val="30"/>
        </w:numPr>
        <w:pBdr>
          <w:top w:val="single" w:sz="4" w:space="1" w:color="auto"/>
          <w:left w:val="single" w:sz="4" w:space="4" w:color="auto"/>
          <w:bottom w:val="single" w:sz="4" w:space="1" w:color="auto"/>
          <w:right w:val="single" w:sz="4" w:space="4" w:color="auto"/>
        </w:pBdr>
      </w:pPr>
      <w:r>
        <w:t>Postpone the LS to SA1 on UAC enhancement for RedCap UEs.</w:t>
      </w:r>
    </w:p>
    <w:p w14:paraId="0AF755BD" w14:textId="77777777" w:rsidR="006A0E16" w:rsidRDefault="006A0E16" w:rsidP="006A0E16">
      <w:pPr>
        <w:pStyle w:val="Doc-text2"/>
        <w:numPr>
          <w:ilvl w:val="0"/>
          <w:numId w:val="30"/>
        </w:numPr>
        <w:pBdr>
          <w:top w:val="single" w:sz="4" w:space="1" w:color="auto"/>
          <w:left w:val="single" w:sz="4" w:space="4" w:color="auto"/>
          <w:bottom w:val="single" w:sz="4" w:space="1" w:color="auto"/>
          <w:right w:val="single" w:sz="4" w:space="4" w:color="auto"/>
        </w:pBdr>
      </w:pPr>
      <w:r>
        <w:t>Postpone the discussion on the camping indicator for RedCap UEs to the WI phase.</w:t>
      </w:r>
    </w:p>
    <w:p w14:paraId="3CDB7369" w14:textId="35CD530A" w:rsidR="006160E2" w:rsidRPr="006A0E16" w:rsidRDefault="006A0E16" w:rsidP="006A0E16">
      <w:pPr>
        <w:pStyle w:val="Doc-text2"/>
        <w:numPr>
          <w:ilvl w:val="0"/>
          <w:numId w:val="30"/>
        </w:numPr>
        <w:pBdr>
          <w:top w:val="single" w:sz="4" w:space="1" w:color="auto"/>
          <w:left w:val="single" w:sz="4" w:space="4" w:color="auto"/>
          <w:bottom w:val="single" w:sz="4" w:space="1" w:color="auto"/>
          <w:right w:val="single" w:sz="4" w:space="4" w:color="auto"/>
        </w:pBdr>
      </w:pPr>
      <w:r>
        <w:t>Postpone the discussion on intraFreqReselection indicator for RedCap UEs to the WI phase.</w:t>
      </w:r>
    </w:p>
    <w:p w14:paraId="0C412EB9" w14:textId="1159CC42" w:rsidR="006A0E16" w:rsidRPr="006A0E16" w:rsidRDefault="006A0E16" w:rsidP="006160E2">
      <w:pPr>
        <w:spacing w:beforeLines="50" w:before="156" w:afterLines="50" w:after="156"/>
        <w:rPr>
          <w:rFonts w:ascii="Times New Roman" w:hAnsi="Times New Roman"/>
          <w:sz w:val="20"/>
          <w:szCs w:val="20"/>
          <w:lang w:val="en-GB"/>
        </w:rPr>
      </w:pPr>
      <w:r>
        <w:rPr>
          <w:rFonts w:ascii="Times New Roman" w:hAnsi="Times New Roman"/>
          <w:sz w:val="20"/>
          <w:szCs w:val="20"/>
          <w:lang w:val="en-GB"/>
        </w:rPr>
        <w:t>Therefore</w:t>
      </w:r>
      <w:r w:rsidR="006160E2" w:rsidRPr="006160E2">
        <w:rPr>
          <w:rFonts w:ascii="Times New Roman" w:hAnsi="Times New Roman"/>
          <w:sz w:val="20"/>
          <w:szCs w:val="20"/>
          <w:lang w:val="en-GB"/>
        </w:rPr>
        <w:t xml:space="preserve">, we </w:t>
      </w:r>
      <w:r w:rsidR="007603BD">
        <w:rPr>
          <w:rFonts w:ascii="Times New Roman" w:hAnsi="Times New Roman" w:hint="eastAsia"/>
          <w:sz w:val="20"/>
          <w:szCs w:val="20"/>
          <w:lang w:val="en-GB"/>
        </w:rPr>
        <w:t>present</w:t>
      </w:r>
      <w:r w:rsidR="007603BD">
        <w:rPr>
          <w:rFonts w:ascii="Times New Roman" w:hAnsi="Times New Roman"/>
          <w:sz w:val="20"/>
          <w:szCs w:val="20"/>
          <w:lang w:val="en-GB"/>
        </w:rPr>
        <w:t xml:space="preserve"> </w:t>
      </w:r>
      <w:r w:rsidR="006160E2" w:rsidRPr="006160E2">
        <w:rPr>
          <w:rFonts w:ascii="Times New Roman" w:hAnsi="Times New Roman"/>
          <w:sz w:val="20"/>
          <w:szCs w:val="20"/>
          <w:lang w:val="en-GB"/>
        </w:rPr>
        <w:t xml:space="preserve">our views on the </w:t>
      </w:r>
      <w:r w:rsidR="00253C1A">
        <w:rPr>
          <w:rFonts w:ascii="Times New Roman" w:hAnsi="Times New Roman"/>
          <w:sz w:val="20"/>
          <w:szCs w:val="20"/>
          <w:lang w:val="en-GB"/>
        </w:rPr>
        <w:t xml:space="preserve">detailed UAC enhancement for REDCAP UEs </w:t>
      </w:r>
      <w:r w:rsidR="006160E2" w:rsidRPr="006160E2">
        <w:rPr>
          <w:rFonts w:ascii="Times New Roman" w:hAnsi="Times New Roman"/>
          <w:sz w:val="20"/>
          <w:szCs w:val="20"/>
          <w:lang w:val="en-GB"/>
        </w:rPr>
        <w:t>in this contribution.</w:t>
      </w:r>
    </w:p>
    <w:p w14:paraId="540CD0EB"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3" w:name="Proposal_Beacon"/>
      <w:r>
        <w:rPr>
          <w:rFonts w:cs="Arial" w:hint="eastAsia"/>
          <w:b/>
          <w:sz w:val="32"/>
          <w:szCs w:val="32"/>
          <w:lang w:eastAsia="zh-CN"/>
        </w:rPr>
        <w:t>Discussion</w:t>
      </w:r>
    </w:p>
    <w:p w14:paraId="63AC5973" w14:textId="0450A5B4" w:rsidR="00A4689B" w:rsidRPr="000B2F86" w:rsidRDefault="00A4689B" w:rsidP="00A4689B">
      <w:pPr>
        <w:spacing w:beforeLines="50" w:before="156" w:afterLines="50" w:after="156"/>
        <w:rPr>
          <w:rFonts w:ascii="Times New Roman" w:eastAsia="等线" w:hAnsi="Times New Roman"/>
          <w:i/>
          <w:sz w:val="20"/>
          <w:szCs w:val="20"/>
          <w:u w:val="single"/>
        </w:rPr>
      </w:pPr>
      <w:r w:rsidRPr="007525B5">
        <w:rPr>
          <w:rFonts w:ascii="Times New Roman" w:hAnsi="Times New Roman"/>
          <w:sz w:val="20"/>
          <w:szCs w:val="20"/>
          <w:lang w:val="en-GB"/>
        </w:rPr>
        <w:t xml:space="preserve">Refer to the legacy principles, </w:t>
      </w:r>
      <w:r w:rsidR="008667F9" w:rsidRPr="008667F9">
        <w:rPr>
          <w:rFonts w:ascii="Times New Roman" w:hAnsi="Times New Roman"/>
          <w:sz w:val="20"/>
          <w:szCs w:val="20"/>
          <w:lang w:val="en-GB"/>
        </w:rPr>
        <w:t>NG-RAN broadcasts barring control information associated with Access Categories and Access Identities</w:t>
      </w:r>
      <w:r w:rsidR="008667F9">
        <w:rPr>
          <w:rFonts w:ascii="Times New Roman" w:hAnsi="Times New Roman"/>
          <w:sz w:val="20"/>
          <w:szCs w:val="20"/>
          <w:lang w:val="en-GB"/>
        </w:rPr>
        <w:t>, and</w:t>
      </w:r>
      <w:r w:rsidR="008667F9" w:rsidRPr="008667F9">
        <w:rPr>
          <w:rFonts w:ascii="Times New Roman" w:hAnsi="Times New Roman"/>
          <w:sz w:val="20"/>
          <w:szCs w:val="20"/>
          <w:lang w:val="en-GB"/>
        </w:rPr>
        <w:t xml:space="preserve"> </w:t>
      </w:r>
      <w:r w:rsidR="008667F9">
        <w:rPr>
          <w:rFonts w:ascii="Times New Roman" w:hAnsi="Times New Roman"/>
          <w:sz w:val="20"/>
          <w:szCs w:val="20"/>
          <w:lang w:val="en-GB"/>
        </w:rPr>
        <w:t>t</w:t>
      </w:r>
      <w:r w:rsidR="008667F9" w:rsidRPr="008667F9">
        <w:rPr>
          <w:rFonts w:ascii="Times New Roman" w:hAnsi="Times New Roman"/>
          <w:sz w:val="20"/>
          <w:szCs w:val="20"/>
          <w:lang w:val="en-GB"/>
        </w:rPr>
        <w:t>he UE determines whether an access attempt is authorized based on the barring information broadcast for the selected PLMN, and the selected Access Category and Access Identity(ies) for the access attempt</w:t>
      </w:r>
      <w:r w:rsidRPr="007525B5">
        <w:rPr>
          <w:rFonts w:ascii="Times New Roman" w:hAnsi="Times New Roman"/>
          <w:sz w:val="20"/>
          <w:szCs w:val="20"/>
          <w:lang w:val="en-GB"/>
        </w:rPr>
        <w:t>.</w:t>
      </w:r>
      <w:r w:rsidR="008667F9">
        <w:rPr>
          <w:rFonts w:ascii="Times New Roman" w:hAnsi="Times New Roman"/>
          <w:sz w:val="20"/>
          <w:szCs w:val="20"/>
          <w:lang w:val="en-GB"/>
        </w:rPr>
        <w:t xml:space="preserve"> </w:t>
      </w:r>
    </w:p>
    <w:p w14:paraId="65F07029" w14:textId="47E8EB69" w:rsidR="00A4689B" w:rsidRPr="00A4689B" w:rsidRDefault="008667F9" w:rsidP="00A4689B">
      <w:pPr>
        <w:spacing w:beforeLines="50" w:before="156" w:afterLines="50" w:after="156"/>
        <w:rPr>
          <w:rFonts w:ascii="Times New Roman" w:hAnsi="Times New Roman"/>
          <w:sz w:val="20"/>
          <w:szCs w:val="20"/>
          <w:lang w:val="en-GB"/>
        </w:rPr>
      </w:pPr>
      <w:bookmarkStart w:id="4" w:name="OLE_LINK2"/>
      <w:r>
        <w:rPr>
          <w:rFonts w:ascii="Times New Roman" w:hAnsi="Times New Roman"/>
          <w:sz w:val="20"/>
          <w:szCs w:val="20"/>
          <w:lang w:val="en-GB"/>
        </w:rPr>
        <w:t>A</w:t>
      </w:r>
      <w:r w:rsidR="00A4689B" w:rsidRPr="00A4689B">
        <w:rPr>
          <w:rFonts w:ascii="Times New Roman" w:hAnsi="Times New Roman"/>
          <w:sz w:val="20"/>
          <w:szCs w:val="20"/>
          <w:lang w:val="en-GB"/>
        </w:rPr>
        <w:t xml:space="preserve">ccording to the updated SID in RAN#88e, the requirements for </w:t>
      </w:r>
      <w:r w:rsidR="00E82285">
        <w:rPr>
          <w:rFonts w:ascii="Times New Roman" w:hAnsi="Times New Roman"/>
          <w:sz w:val="20"/>
          <w:szCs w:val="20"/>
          <w:lang w:val="en-GB"/>
        </w:rPr>
        <w:t>REDCAP</w:t>
      </w:r>
      <w:r w:rsidR="00A4689B" w:rsidRPr="00A4689B">
        <w:rPr>
          <w:rFonts w:ascii="Times New Roman" w:hAnsi="Times New Roman"/>
          <w:sz w:val="20"/>
          <w:szCs w:val="20"/>
          <w:lang w:val="en-GB"/>
        </w:rPr>
        <w:t xml:space="preserve"> use cases are summarized in Table 1. There is different requirement for each use case which is more like the traffic requirement of the regular NR device. </w:t>
      </w:r>
    </w:p>
    <w:p w14:paraId="540BB780" w14:textId="40CC2397" w:rsidR="00A4689B" w:rsidRPr="00A4689B" w:rsidRDefault="00A4689B" w:rsidP="000B2F86">
      <w:pPr>
        <w:spacing w:beforeLines="50" w:before="156" w:afterLines="50" w:after="156"/>
        <w:jc w:val="center"/>
        <w:rPr>
          <w:rFonts w:ascii="Times New Roman" w:hAnsi="Times New Roman"/>
          <w:sz w:val="20"/>
          <w:szCs w:val="20"/>
          <w:lang w:val="en-GB"/>
        </w:rPr>
      </w:pPr>
      <w:r w:rsidRPr="00A4689B">
        <w:rPr>
          <w:rFonts w:ascii="Times New Roman" w:hAnsi="Times New Roman"/>
          <w:sz w:val="20"/>
          <w:szCs w:val="20"/>
          <w:lang w:val="en-GB"/>
        </w:rPr>
        <w:t xml:space="preserve">Table 1 </w:t>
      </w:r>
      <w:r w:rsidR="00E82285">
        <w:rPr>
          <w:rFonts w:ascii="Times New Roman" w:hAnsi="Times New Roman"/>
          <w:sz w:val="20"/>
          <w:szCs w:val="20"/>
          <w:lang w:val="en-GB"/>
        </w:rPr>
        <w:t>REDCAP</w:t>
      </w:r>
      <w:r w:rsidRPr="00A4689B">
        <w:rPr>
          <w:rFonts w:ascii="Times New Roman" w:hAnsi="Times New Roman"/>
          <w:sz w:val="20"/>
          <w:szCs w:val="20"/>
          <w:lang w:val="en-GB"/>
        </w:rPr>
        <w:t xml:space="preserve"> use case requirements</w:t>
      </w:r>
    </w:p>
    <w:tbl>
      <w:tblPr>
        <w:tblStyle w:val="af1"/>
        <w:tblW w:w="0" w:type="auto"/>
        <w:tblLook w:val="04A0" w:firstRow="1" w:lastRow="0" w:firstColumn="1" w:lastColumn="0" w:noHBand="0" w:noVBand="1"/>
      </w:tblPr>
      <w:tblGrid>
        <w:gridCol w:w="1861"/>
        <w:gridCol w:w="1861"/>
        <w:gridCol w:w="1861"/>
        <w:gridCol w:w="1862"/>
        <w:gridCol w:w="1862"/>
      </w:tblGrid>
      <w:tr w:rsidR="00A4689B" w:rsidRPr="00A4689B" w14:paraId="3717AAAD" w14:textId="77777777" w:rsidTr="003118C5">
        <w:tc>
          <w:tcPr>
            <w:tcW w:w="1861" w:type="dxa"/>
          </w:tcPr>
          <w:p w14:paraId="608B84D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Use cases</w:t>
            </w:r>
          </w:p>
        </w:tc>
        <w:tc>
          <w:tcPr>
            <w:tcW w:w="1861" w:type="dxa"/>
          </w:tcPr>
          <w:p w14:paraId="6373EFB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Reference bit rate</w:t>
            </w:r>
          </w:p>
        </w:tc>
        <w:tc>
          <w:tcPr>
            <w:tcW w:w="1861" w:type="dxa"/>
          </w:tcPr>
          <w:p w14:paraId="71BF2CF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Latency</w:t>
            </w:r>
          </w:p>
        </w:tc>
        <w:tc>
          <w:tcPr>
            <w:tcW w:w="1862" w:type="dxa"/>
          </w:tcPr>
          <w:p w14:paraId="4E2E085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Reliability</w:t>
            </w:r>
          </w:p>
        </w:tc>
        <w:tc>
          <w:tcPr>
            <w:tcW w:w="1862" w:type="dxa"/>
          </w:tcPr>
          <w:p w14:paraId="57035D1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Battery life</w:t>
            </w:r>
          </w:p>
        </w:tc>
      </w:tr>
      <w:tr w:rsidR="00A4689B" w:rsidRPr="00A4689B" w14:paraId="6917A1C0" w14:textId="77777777" w:rsidTr="003118C5">
        <w:tc>
          <w:tcPr>
            <w:tcW w:w="1861" w:type="dxa"/>
          </w:tcPr>
          <w:p w14:paraId="21FB8E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Industrial wireless sensors </w:t>
            </w:r>
          </w:p>
        </w:tc>
        <w:tc>
          <w:tcPr>
            <w:tcW w:w="1861" w:type="dxa"/>
          </w:tcPr>
          <w:p w14:paraId="4AA34F01"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&lt;2Mbps</w:t>
            </w:r>
          </w:p>
        </w:tc>
        <w:tc>
          <w:tcPr>
            <w:tcW w:w="1861" w:type="dxa"/>
          </w:tcPr>
          <w:p w14:paraId="761ABA1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&lt;100ms;</w:t>
            </w:r>
          </w:p>
          <w:p w14:paraId="7A6217A9"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5-10ms for safety related sensors.</w:t>
            </w:r>
          </w:p>
        </w:tc>
        <w:tc>
          <w:tcPr>
            <w:tcW w:w="1862" w:type="dxa"/>
          </w:tcPr>
          <w:p w14:paraId="2032B2CC"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w:t>
            </w:r>
          </w:p>
        </w:tc>
        <w:tc>
          <w:tcPr>
            <w:tcW w:w="1862" w:type="dxa"/>
          </w:tcPr>
          <w:p w14:paraId="5401EE1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At least few years. </w:t>
            </w:r>
          </w:p>
        </w:tc>
      </w:tr>
      <w:tr w:rsidR="00A4689B" w:rsidRPr="00A4689B" w14:paraId="734D0DCD" w14:textId="77777777" w:rsidTr="003118C5">
        <w:tc>
          <w:tcPr>
            <w:tcW w:w="1861" w:type="dxa"/>
          </w:tcPr>
          <w:p w14:paraId="4AA521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Video surveillance</w:t>
            </w:r>
          </w:p>
        </w:tc>
        <w:tc>
          <w:tcPr>
            <w:tcW w:w="1861" w:type="dxa"/>
          </w:tcPr>
          <w:p w14:paraId="3C0FD57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2-4Mbps for economic video;</w:t>
            </w:r>
          </w:p>
          <w:p w14:paraId="467D6EC7"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7.5-25Mbps for </w:t>
            </w:r>
            <w:r w:rsidRPr="00A4689B">
              <w:rPr>
                <w:rFonts w:ascii="Times New Roman" w:hAnsi="Times New Roman"/>
                <w:sz w:val="20"/>
                <w:szCs w:val="20"/>
                <w:lang w:val="en-GB"/>
              </w:rPr>
              <w:lastRenderedPageBreak/>
              <w:t>high-end video</w:t>
            </w:r>
          </w:p>
        </w:tc>
        <w:tc>
          <w:tcPr>
            <w:tcW w:w="1861" w:type="dxa"/>
          </w:tcPr>
          <w:p w14:paraId="550FB0B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lastRenderedPageBreak/>
              <w:t>&lt;500ms</w:t>
            </w:r>
          </w:p>
        </w:tc>
        <w:tc>
          <w:tcPr>
            <w:tcW w:w="1862" w:type="dxa"/>
          </w:tcPr>
          <w:p w14:paraId="55FC4AC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99%-99.9%</w:t>
            </w:r>
          </w:p>
        </w:tc>
        <w:tc>
          <w:tcPr>
            <w:tcW w:w="1862" w:type="dxa"/>
          </w:tcPr>
          <w:p w14:paraId="4ACE9C4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r>
      <w:tr w:rsidR="00A4689B" w:rsidRPr="00A4689B" w14:paraId="1CAD3A2A" w14:textId="77777777" w:rsidTr="003118C5">
        <w:tc>
          <w:tcPr>
            <w:tcW w:w="1861" w:type="dxa"/>
          </w:tcPr>
          <w:p w14:paraId="6E17676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Wearables</w:t>
            </w:r>
          </w:p>
        </w:tc>
        <w:tc>
          <w:tcPr>
            <w:tcW w:w="1861" w:type="dxa"/>
          </w:tcPr>
          <w:p w14:paraId="12E6FD64"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5-50Mbps in DL, 2-5Mbps in UL.</w:t>
            </w:r>
          </w:p>
          <w:p w14:paraId="42939B8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peak data rate &lt;=150Mbps in DL, &lt;=50Mbps in UL.</w:t>
            </w:r>
          </w:p>
        </w:tc>
        <w:tc>
          <w:tcPr>
            <w:tcW w:w="1861" w:type="dxa"/>
          </w:tcPr>
          <w:p w14:paraId="33C163D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1D2080AF"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02F56EED"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 1-2 weeks</w:t>
            </w:r>
          </w:p>
        </w:tc>
      </w:tr>
    </w:tbl>
    <w:p w14:paraId="3C9D1C5A" w14:textId="77777777" w:rsidR="00A4689B" w:rsidRPr="00A4689B" w:rsidRDefault="00A4689B" w:rsidP="00A4689B">
      <w:pPr>
        <w:spacing w:beforeLines="50" w:before="156" w:afterLines="50" w:after="156"/>
        <w:rPr>
          <w:rFonts w:ascii="Times New Roman" w:hAnsi="Times New Roman"/>
          <w:sz w:val="20"/>
          <w:szCs w:val="20"/>
          <w:lang w:val="en-GB"/>
        </w:rPr>
      </w:pPr>
    </w:p>
    <w:bookmarkEnd w:id="4"/>
    <w:p w14:paraId="11ED4F07" w14:textId="5D20C6A1" w:rsidR="00A4689B" w:rsidRPr="001D56C2"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Refer</w:t>
      </w:r>
      <w:r w:rsidR="00D25D5D">
        <w:rPr>
          <w:rFonts w:ascii="Times New Roman" w:hAnsi="Times New Roman"/>
          <w:sz w:val="20"/>
          <w:szCs w:val="20"/>
          <w:lang w:val="en-GB"/>
        </w:rPr>
        <w:t>ring</w:t>
      </w:r>
      <w:r w:rsidRPr="00A4689B">
        <w:rPr>
          <w:rFonts w:ascii="Times New Roman" w:hAnsi="Times New Roman"/>
          <w:sz w:val="20"/>
          <w:szCs w:val="20"/>
          <w:lang w:val="en-GB"/>
        </w:rPr>
        <w:t xml:space="preserve"> to the</w:t>
      </w:r>
      <w:r w:rsidR="005F4FD6">
        <w:rPr>
          <w:rFonts w:ascii="Times New Roman" w:hAnsi="Times New Roman"/>
          <w:sz w:val="20"/>
          <w:szCs w:val="20"/>
          <w:lang w:val="en-GB"/>
        </w:rPr>
        <w:t xml:space="preserve"> UAC procedure in</w:t>
      </w:r>
      <w:r w:rsidRPr="00A4689B">
        <w:rPr>
          <w:rFonts w:ascii="Times New Roman" w:hAnsi="Times New Roman"/>
          <w:sz w:val="20"/>
          <w:szCs w:val="20"/>
          <w:lang w:val="en-GB"/>
        </w:rPr>
        <w:t xml:space="preserve"> NR system, overload and access </w:t>
      </w:r>
      <w:r w:rsidR="00C937B4">
        <w:rPr>
          <w:rFonts w:ascii="Times New Roman" w:hAnsi="Times New Roman"/>
          <w:sz w:val="20"/>
          <w:szCs w:val="20"/>
          <w:lang w:val="en-GB"/>
        </w:rPr>
        <w:t xml:space="preserve">are </w:t>
      </w:r>
      <w:r w:rsidRPr="00A4689B">
        <w:rPr>
          <w:rFonts w:ascii="Times New Roman" w:hAnsi="Times New Roman"/>
          <w:sz w:val="20"/>
          <w:szCs w:val="20"/>
          <w:lang w:val="en-GB"/>
        </w:rPr>
        <w:t>control</w:t>
      </w:r>
      <w:r w:rsidR="00C937B4">
        <w:rPr>
          <w:rFonts w:ascii="Times New Roman" w:hAnsi="Times New Roman"/>
          <w:sz w:val="20"/>
          <w:szCs w:val="20"/>
          <w:lang w:val="en-GB"/>
        </w:rPr>
        <w:t>lable</w:t>
      </w:r>
      <w:r w:rsidRPr="00A4689B">
        <w:rPr>
          <w:rFonts w:ascii="Times New Roman" w:hAnsi="Times New Roman"/>
          <w:sz w:val="20"/>
          <w:szCs w:val="20"/>
          <w:lang w:val="en-GB"/>
        </w:rPr>
        <w:t xml:space="preserve"> and the basic rule is </w:t>
      </w:r>
      <w:r w:rsidR="00C937B4">
        <w:rPr>
          <w:rFonts w:ascii="Times New Roman" w:hAnsi="Times New Roman"/>
          <w:sz w:val="20"/>
          <w:szCs w:val="20"/>
          <w:lang w:val="en-GB"/>
        </w:rPr>
        <w:t>that</w:t>
      </w:r>
      <w:r w:rsidR="00C937B4">
        <w:t xml:space="preserve"> </w:t>
      </w:r>
      <w:r w:rsidR="00C937B4" w:rsidRPr="009171EC">
        <w:rPr>
          <w:rFonts w:ascii="Times New Roman" w:hAnsi="Times New Roman"/>
          <w:sz w:val="20"/>
          <w:szCs w:val="20"/>
        </w:rPr>
        <w:t>which access attempts are allowed and the access probability are controllable</w:t>
      </w:r>
      <w:r w:rsidRPr="00A4689B">
        <w:rPr>
          <w:rFonts w:ascii="Times New Roman" w:hAnsi="Times New Roman"/>
          <w:sz w:val="20"/>
          <w:szCs w:val="20"/>
          <w:lang w:val="en-GB"/>
        </w:rPr>
        <w:t xml:space="preserve">. </w:t>
      </w:r>
      <w:r w:rsidR="00D25D5D">
        <w:rPr>
          <w:rFonts w:ascii="Times New Roman" w:hAnsi="Times New Roman"/>
          <w:sz w:val="20"/>
          <w:szCs w:val="20"/>
          <w:lang w:val="en-GB"/>
        </w:rPr>
        <w:t xml:space="preserve">It was already agreed to apply </w:t>
      </w:r>
      <w:r w:rsidR="001D56C2">
        <w:rPr>
          <w:rFonts w:ascii="Times New Roman" w:hAnsi="Times New Roman"/>
          <w:sz w:val="20"/>
          <w:szCs w:val="20"/>
          <w:lang w:val="en-GB"/>
        </w:rPr>
        <w:t xml:space="preserve">UAC </w:t>
      </w:r>
      <w:r w:rsidR="00D25D5D">
        <w:rPr>
          <w:rFonts w:ascii="Times New Roman" w:hAnsi="Times New Roman"/>
          <w:sz w:val="20"/>
          <w:szCs w:val="20"/>
          <w:lang w:val="en-GB"/>
        </w:rPr>
        <w:t xml:space="preserve">also </w:t>
      </w:r>
      <w:r w:rsidR="001D56C2">
        <w:rPr>
          <w:rFonts w:ascii="Times New Roman" w:hAnsi="Times New Roman"/>
          <w:sz w:val="20"/>
          <w:szCs w:val="20"/>
          <w:lang w:val="en-GB"/>
        </w:rPr>
        <w:t>to</w:t>
      </w:r>
      <w:r w:rsidRPr="00A4689B">
        <w:rPr>
          <w:rFonts w:ascii="Times New Roman" w:hAnsi="Times New Roman"/>
          <w:sz w:val="20"/>
          <w:szCs w:val="20"/>
          <w:lang w:val="en-GB"/>
        </w:rPr>
        <w:t xml:space="preserve"> R</w:t>
      </w:r>
      <w:r w:rsidR="001D56C2">
        <w:rPr>
          <w:rFonts w:ascii="Times New Roman" w:hAnsi="Times New Roman"/>
          <w:sz w:val="20"/>
          <w:szCs w:val="20"/>
          <w:lang w:val="en-GB"/>
        </w:rPr>
        <w:t>EDCAP UEs</w:t>
      </w:r>
      <w:r w:rsidRPr="00A4689B">
        <w:rPr>
          <w:rFonts w:ascii="Times New Roman" w:hAnsi="Times New Roman"/>
          <w:sz w:val="20"/>
          <w:szCs w:val="20"/>
          <w:lang w:val="en-GB"/>
        </w:rPr>
        <w:t xml:space="preserve">. </w:t>
      </w:r>
      <w:r w:rsidR="00961B00">
        <w:rPr>
          <w:rFonts w:ascii="Times New Roman" w:hAnsi="Times New Roman"/>
          <w:sz w:val="20"/>
          <w:szCs w:val="20"/>
          <w:lang w:val="en-GB"/>
        </w:rPr>
        <w:t>In addition, it was</w:t>
      </w:r>
      <w:r w:rsidR="004416DD">
        <w:rPr>
          <w:rFonts w:ascii="Times New Roman" w:hAnsi="Times New Roman"/>
          <w:sz w:val="20"/>
          <w:szCs w:val="20"/>
          <w:lang w:val="en-GB"/>
        </w:rPr>
        <w:t xml:space="preserve"> agreed that we should minimise the number of device types. The device type is </w:t>
      </w:r>
      <w:r w:rsidR="004B06E6">
        <w:rPr>
          <w:rFonts w:ascii="Times New Roman" w:hAnsi="Times New Roman"/>
          <w:sz w:val="20"/>
          <w:szCs w:val="20"/>
          <w:lang w:val="en-GB"/>
        </w:rPr>
        <w:t>used to identify the REDCAP device which</w:t>
      </w:r>
      <w:r w:rsidR="00064A52">
        <w:rPr>
          <w:rFonts w:ascii="Times New Roman" w:hAnsi="Times New Roman"/>
          <w:sz w:val="20"/>
          <w:szCs w:val="20"/>
          <w:lang w:val="en-GB"/>
        </w:rPr>
        <w:t xml:space="preserve"> is more like an</w:t>
      </w:r>
      <w:r w:rsidR="003118C5">
        <w:rPr>
          <w:rFonts w:ascii="Times New Roman" w:hAnsi="Times New Roman"/>
          <w:sz w:val="20"/>
          <w:szCs w:val="20"/>
          <w:lang w:val="en-GB"/>
        </w:rPr>
        <w:t xml:space="preserve"> Access Identity. And the use cases illustrated in the SID are </w:t>
      </w:r>
      <w:r w:rsidR="00064A52">
        <w:rPr>
          <w:rFonts w:ascii="Times New Roman" w:hAnsi="Times New Roman"/>
          <w:sz w:val="20"/>
          <w:szCs w:val="20"/>
          <w:lang w:val="en-GB"/>
        </w:rPr>
        <w:t xml:space="preserve">more like the Access Categories. </w:t>
      </w:r>
      <w:r w:rsidRPr="00A4689B">
        <w:rPr>
          <w:rFonts w:ascii="Times New Roman" w:hAnsi="Times New Roman"/>
          <w:sz w:val="20"/>
          <w:szCs w:val="20"/>
          <w:lang w:val="en-GB"/>
        </w:rPr>
        <w:t xml:space="preserve">Then it is possible that parts of the </w:t>
      </w:r>
      <w:r w:rsidR="000324D2">
        <w:rPr>
          <w:rFonts w:ascii="Times New Roman" w:hAnsi="Times New Roman"/>
          <w:sz w:val="20"/>
          <w:szCs w:val="20"/>
          <w:lang w:val="en-GB"/>
        </w:rPr>
        <w:t xml:space="preserve">devices or </w:t>
      </w:r>
      <w:r w:rsidRPr="00A4689B">
        <w:rPr>
          <w:rFonts w:ascii="Times New Roman" w:hAnsi="Times New Roman"/>
          <w:sz w:val="20"/>
          <w:szCs w:val="20"/>
          <w:lang w:val="en-GB"/>
        </w:rPr>
        <w:t xml:space="preserve">use cases can be admitted to system </w:t>
      </w:r>
      <w:r w:rsidR="0046798E">
        <w:rPr>
          <w:rFonts w:ascii="Times New Roman" w:hAnsi="Times New Roman"/>
          <w:sz w:val="20"/>
          <w:szCs w:val="20"/>
          <w:lang w:val="en-GB"/>
        </w:rPr>
        <w:t>depending on</w:t>
      </w:r>
      <w:r w:rsidRPr="00A4689B">
        <w:rPr>
          <w:rFonts w:ascii="Times New Roman" w:hAnsi="Times New Roman"/>
          <w:sz w:val="20"/>
          <w:szCs w:val="20"/>
          <w:lang w:val="en-GB"/>
        </w:rPr>
        <w:t xml:space="preserve"> network load situation or the UE traffic.</w:t>
      </w:r>
    </w:p>
    <w:p w14:paraId="7DE7ECCD" w14:textId="1D75F038" w:rsidR="00D95FDD" w:rsidRDefault="006F6D32" w:rsidP="00A4689B">
      <w:pPr>
        <w:spacing w:beforeLines="50" w:before="156" w:afterLines="50" w:after="156"/>
        <w:rPr>
          <w:rFonts w:ascii="Times New Roman" w:hAnsi="Times New Roman"/>
          <w:sz w:val="20"/>
          <w:szCs w:val="20"/>
          <w:lang w:val="en-GB"/>
        </w:rPr>
      </w:pPr>
      <w:r>
        <w:rPr>
          <w:rFonts w:ascii="Times New Roman" w:hAnsi="Times New Roman"/>
          <w:sz w:val="20"/>
          <w:szCs w:val="20"/>
          <w:lang w:val="en-GB"/>
        </w:rPr>
        <w:t>The</w:t>
      </w:r>
      <w:r w:rsidR="00A4689B" w:rsidRPr="00A4689B">
        <w:rPr>
          <w:rFonts w:ascii="Times New Roman" w:hAnsi="Times New Roman"/>
          <w:sz w:val="20"/>
          <w:szCs w:val="20"/>
          <w:lang w:val="en-GB"/>
        </w:rPr>
        <w:t xml:space="preserve"> UAC procedure can realize the function of partial barring for the </w:t>
      </w:r>
      <w:r w:rsidR="00AD5864">
        <w:rPr>
          <w:rFonts w:ascii="Times New Roman" w:hAnsi="Times New Roman"/>
          <w:sz w:val="20"/>
          <w:szCs w:val="20"/>
          <w:lang w:val="en-GB"/>
        </w:rPr>
        <w:t>REDCAP UEs</w:t>
      </w:r>
      <w:r w:rsidR="00A4689B" w:rsidRPr="00A4689B">
        <w:rPr>
          <w:rFonts w:ascii="Times New Roman" w:hAnsi="Times New Roman"/>
          <w:sz w:val="20"/>
          <w:szCs w:val="20"/>
          <w:lang w:val="en-GB"/>
        </w:rPr>
        <w:t xml:space="preserve">. However, some additional mechanism </w:t>
      </w:r>
      <w:r w:rsidR="00003524">
        <w:rPr>
          <w:rFonts w:ascii="Times New Roman" w:hAnsi="Times New Roman"/>
          <w:sz w:val="20"/>
          <w:szCs w:val="20"/>
          <w:lang w:val="en-GB"/>
        </w:rPr>
        <w:t>are</w:t>
      </w:r>
      <w:r w:rsidR="00003524" w:rsidRPr="00A4689B">
        <w:rPr>
          <w:rFonts w:ascii="Times New Roman" w:hAnsi="Times New Roman"/>
          <w:sz w:val="20"/>
          <w:szCs w:val="20"/>
          <w:lang w:val="en-GB"/>
        </w:rPr>
        <w:t xml:space="preserve"> </w:t>
      </w:r>
      <w:r w:rsidR="00A4689B" w:rsidRPr="00A4689B">
        <w:rPr>
          <w:rFonts w:ascii="Times New Roman" w:hAnsi="Times New Roman"/>
          <w:sz w:val="20"/>
          <w:szCs w:val="20"/>
          <w:lang w:val="en-GB"/>
        </w:rPr>
        <w:t xml:space="preserve">needed to </w:t>
      </w:r>
      <w:r w:rsidR="00BF44B2">
        <w:rPr>
          <w:rFonts w:ascii="Times New Roman" w:hAnsi="Times New Roman"/>
          <w:sz w:val="20"/>
          <w:szCs w:val="20"/>
          <w:lang w:val="en-GB"/>
        </w:rPr>
        <w:t>enhance for</w:t>
      </w:r>
      <w:r w:rsidR="00BF44B2" w:rsidRPr="00A4689B">
        <w:rPr>
          <w:rFonts w:ascii="Times New Roman" w:hAnsi="Times New Roman"/>
          <w:sz w:val="20"/>
          <w:szCs w:val="20"/>
          <w:lang w:val="en-GB"/>
        </w:rPr>
        <w:t xml:space="preserve"> </w:t>
      </w:r>
      <w:r>
        <w:rPr>
          <w:rFonts w:ascii="Times New Roman" w:hAnsi="Times New Roman"/>
          <w:sz w:val="20"/>
          <w:szCs w:val="20"/>
          <w:lang w:val="en-GB"/>
        </w:rPr>
        <w:t xml:space="preserve">the </w:t>
      </w:r>
      <w:r w:rsidR="00A4689B" w:rsidRPr="00A4689B">
        <w:rPr>
          <w:rFonts w:ascii="Times New Roman" w:hAnsi="Times New Roman"/>
          <w:sz w:val="20"/>
          <w:szCs w:val="20"/>
          <w:lang w:val="en-GB"/>
        </w:rPr>
        <w:t xml:space="preserve">partial barring </w:t>
      </w:r>
      <w:r w:rsidR="00BF44B2">
        <w:rPr>
          <w:rFonts w:ascii="Times New Roman" w:hAnsi="Times New Roman"/>
          <w:sz w:val="20"/>
          <w:szCs w:val="20"/>
          <w:lang w:val="en-GB"/>
        </w:rPr>
        <w:t>of</w:t>
      </w:r>
      <w:r w:rsidR="00BF44B2" w:rsidRPr="00A4689B">
        <w:rPr>
          <w:rFonts w:ascii="Times New Roman" w:hAnsi="Times New Roman"/>
          <w:sz w:val="20"/>
          <w:szCs w:val="20"/>
          <w:lang w:val="en-GB"/>
        </w:rPr>
        <w:t xml:space="preserve"> </w:t>
      </w:r>
      <w:r w:rsidR="00A4689B" w:rsidRPr="00A4689B">
        <w:rPr>
          <w:rFonts w:ascii="Times New Roman" w:hAnsi="Times New Roman"/>
          <w:sz w:val="20"/>
          <w:szCs w:val="20"/>
          <w:lang w:val="en-GB"/>
        </w:rPr>
        <w:t xml:space="preserve">the </w:t>
      </w:r>
      <w:r w:rsidR="009A3A6B">
        <w:rPr>
          <w:rFonts w:ascii="Times New Roman" w:hAnsi="Times New Roman"/>
          <w:sz w:val="20"/>
          <w:szCs w:val="20"/>
          <w:lang w:val="en-GB"/>
        </w:rPr>
        <w:t>REDCAP UEs</w:t>
      </w:r>
      <w:r w:rsidR="00A4689B" w:rsidRPr="00A4689B">
        <w:rPr>
          <w:rFonts w:ascii="Times New Roman" w:hAnsi="Times New Roman"/>
          <w:sz w:val="20"/>
          <w:szCs w:val="20"/>
          <w:lang w:val="en-GB"/>
        </w:rPr>
        <w:t xml:space="preserve"> e.g. including that the network broadcasts the barring control information associated to the </w:t>
      </w:r>
      <w:r w:rsidR="00D95FDD" w:rsidRPr="00A4689B">
        <w:rPr>
          <w:rFonts w:ascii="Times New Roman" w:hAnsi="Times New Roman"/>
          <w:sz w:val="20"/>
          <w:szCs w:val="20"/>
          <w:lang w:val="en-GB"/>
        </w:rPr>
        <w:t>R</w:t>
      </w:r>
      <w:r w:rsidR="00D95FDD">
        <w:rPr>
          <w:rFonts w:ascii="Times New Roman" w:hAnsi="Times New Roman"/>
          <w:sz w:val="20"/>
          <w:szCs w:val="20"/>
          <w:lang w:val="en-GB"/>
        </w:rPr>
        <w:t xml:space="preserve">EDCAP </w:t>
      </w:r>
      <w:r w:rsidR="0080167A">
        <w:rPr>
          <w:rFonts w:ascii="Times New Roman" w:hAnsi="Times New Roman"/>
          <w:sz w:val="20"/>
          <w:szCs w:val="20"/>
          <w:lang w:val="en-GB"/>
        </w:rPr>
        <w:t xml:space="preserve">UEs or </w:t>
      </w:r>
      <w:r w:rsidR="00D95FDD">
        <w:rPr>
          <w:rFonts w:ascii="Times New Roman" w:hAnsi="Times New Roman"/>
          <w:sz w:val="20"/>
          <w:szCs w:val="20"/>
          <w:lang w:val="en-GB"/>
        </w:rPr>
        <w:t>use cases</w:t>
      </w:r>
      <w:r w:rsidR="0080167A">
        <w:rPr>
          <w:rFonts w:ascii="Times New Roman" w:hAnsi="Times New Roman"/>
          <w:sz w:val="20"/>
          <w:szCs w:val="20"/>
          <w:lang w:val="en-GB"/>
        </w:rPr>
        <w:t>,</w:t>
      </w:r>
      <w:r w:rsidR="00A4689B" w:rsidRPr="00A4689B">
        <w:rPr>
          <w:rFonts w:ascii="Times New Roman" w:hAnsi="Times New Roman"/>
          <w:sz w:val="20"/>
          <w:szCs w:val="20"/>
          <w:lang w:val="en-GB"/>
        </w:rPr>
        <w:t xml:space="preserve"> and the</w:t>
      </w:r>
      <w:r w:rsidR="0080167A">
        <w:rPr>
          <w:rFonts w:ascii="Times New Roman" w:hAnsi="Times New Roman"/>
          <w:sz w:val="20"/>
          <w:szCs w:val="20"/>
          <w:lang w:val="en-GB"/>
        </w:rPr>
        <w:t>n the</w:t>
      </w:r>
      <w:r w:rsidR="00A4689B" w:rsidRPr="00A4689B">
        <w:rPr>
          <w:rFonts w:ascii="Times New Roman" w:hAnsi="Times New Roman"/>
          <w:sz w:val="20"/>
          <w:szCs w:val="20"/>
          <w:lang w:val="en-GB"/>
        </w:rPr>
        <w:t xml:space="preserve"> </w:t>
      </w:r>
      <w:r w:rsidR="00D95FDD" w:rsidRPr="00A4689B">
        <w:rPr>
          <w:rFonts w:ascii="Times New Roman" w:hAnsi="Times New Roman"/>
          <w:sz w:val="20"/>
          <w:szCs w:val="20"/>
          <w:lang w:val="en-GB"/>
        </w:rPr>
        <w:t>R</w:t>
      </w:r>
      <w:r w:rsidR="00D95FDD">
        <w:rPr>
          <w:rFonts w:ascii="Times New Roman" w:hAnsi="Times New Roman"/>
          <w:sz w:val="20"/>
          <w:szCs w:val="20"/>
          <w:lang w:val="en-GB"/>
        </w:rPr>
        <w:t>EDCAP UE</w:t>
      </w:r>
      <w:r w:rsidR="00A4689B" w:rsidRPr="00A4689B">
        <w:rPr>
          <w:rFonts w:ascii="Times New Roman" w:hAnsi="Times New Roman"/>
          <w:sz w:val="20"/>
          <w:szCs w:val="20"/>
          <w:lang w:val="en-GB"/>
        </w:rPr>
        <w:t xml:space="preserve"> determines whether an access attempt is authorized based on the barring information broadcasted for the selected PLMN by performing access barring check for an access attempt.</w:t>
      </w:r>
      <w:r w:rsidR="00D95FDD">
        <w:rPr>
          <w:rFonts w:ascii="Times New Roman" w:hAnsi="Times New Roman"/>
          <w:sz w:val="20"/>
          <w:szCs w:val="20"/>
          <w:lang w:val="en-GB"/>
        </w:rPr>
        <w:t xml:space="preserve"> </w:t>
      </w:r>
      <w:r w:rsidR="00CC63B8">
        <w:rPr>
          <w:rFonts w:ascii="Times New Roman" w:hAnsi="Times New Roman"/>
          <w:sz w:val="20"/>
          <w:szCs w:val="20"/>
          <w:lang w:val="en-GB"/>
        </w:rPr>
        <w:t>I</w:t>
      </w:r>
      <w:r w:rsidR="00A4689B" w:rsidRPr="00A4689B">
        <w:rPr>
          <w:rFonts w:ascii="Times New Roman" w:hAnsi="Times New Roman"/>
          <w:sz w:val="20"/>
          <w:szCs w:val="20"/>
          <w:lang w:val="en-GB"/>
        </w:rPr>
        <w:t>t can work well for the purpose of partial barring</w:t>
      </w:r>
      <w:r w:rsidR="00CC63B8">
        <w:rPr>
          <w:rFonts w:ascii="Times New Roman" w:hAnsi="Times New Roman"/>
          <w:sz w:val="20"/>
          <w:szCs w:val="20"/>
          <w:lang w:val="en-GB"/>
        </w:rPr>
        <w:t xml:space="preserve"> by performing </w:t>
      </w:r>
      <w:r>
        <w:rPr>
          <w:rFonts w:ascii="Times New Roman" w:hAnsi="Times New Roman"/>
          <w:sz w:val="20"/>
          <w:szCs w:val="20"/>
          <w:lang w:val="en-GB"/>
        </w:rPr>
        <w:t xml:space="preserve">such </w:t>
      </w:r>
      <w:r w:rsidR="00CC63B8" w:rsidRPr="00A4689B">
        <w:rPr>
          <w:rFonts w:ascii="Times New Roman" w:hAnsi="Times New Roman"/>
          <w:sz w:val="20"/>
          <w:szCs w:val="20"/>
          <w:lang w:val="en-GB"/>
        </w:rPr>
        <w:t xml:space="preserve">UAC procedure for the access attempt from a </w:t>
      </w:r>
      <w:r w:rsidR="007E11B2">
        <w:rPr>
          <w:rFonts w:ascii="Times New Roman" w:hAnsi="Times New Roman"/>
          <w:sz w:val="20"/>
          <w:szCs w:val="20"/>
          <w:lang w:val="en-GB"/>
        </w:rPr>
        <w:t>REDCAP</w:t>
      </w:r>
      <w:r w:rsidR="00CC63B8" w:rsidRPr="00A4689B">
        <w:rPr>
          <w:rFonts w:ascii="Times New Roman" w:hAnsi="Times New Roman"/>
          <w:sz w:val="20"/>
          <w:szCs w:val="20"/>
          <w:lang w:val="en-GB"/>
        </w:rPr>
        <w:t xml:space="preserve"> UE</w:t>
      </w:r>
      <w:r w:rsidR="00A4689B" w:rsidRPr="00A4689B">
        <w:rPr>
          <w:rFonts w:ascii="Times New Roman" w:hAnsi="Times New Roman"/>
          <w:sz w:val="20"/>
          <w:szCs w:val="20"/>
          <w:lang w:val="en-GB"/>
        </w:rPr>
        <w:t xml:space="preserve">. </w:t>
      </w:r>
      <w:r w:rsidR="003D23F5">
        <w:rPr>
          <w:rFonts w:ascii="Times New Roman" w:hAnsi="Times New Roman"/>
          <w:sz w:val="20"/>
          <w:szCs w:val="20"/>
          <w:lang w:val="en-GB"/>
        </w:rPr>
        <w:t xml:space="preserve"> </w:t>
      </w:r>
    </w:p>
    <w:p w14:paraId="508D52E8" w14:textId="6886BD8E" w:rsidR="006F6D32" w:rsidRPr="006F6D32" w:rsidRDefault="006F6D32" w:rsidP="00A4689B">
      <w:pPr>
        <w:spacing w:beforeLines="50" w:before="156" w:afterLines="50" w:after="156"/>
        <w:rPr>
          <w:rFonts w:ascii="Times New Roman" w:hAnsi="Times New Roman"/>
          <w:b/>
          <w:sz w:val="20"/>
          <w:szCs w:val="20"/>
          <w:u w:val="single"/>
          <w:lang w:val="en-GB"/>
        </w:rPr>
      </w:pPr>
      <w:r w:rsidRPr="006F6D32">
        <w:rPr>
          <w:rFonts w:ascii="Times New Roman" w:hAnsi="Times New Roman"/>
          <w:b/>
          <w:sz w:val="20"/>
          <w:szCs w:val="20"/>
          <w:u w:val="single"/>
          <w:lang w:val="en-GB"/>
        </w:rPr>
        <w:t>Option 1</w:t>
      </w:r>
    </w:p>
    <w:p w14:paraId="2D667358" w14:textId="3087822F" w:rsidR="00E96383" w:rsidRDefault="00D95FDD" w:rsidP="00D95FDD">
      <w:pPr>
        <w:spacing w:beforeLines="50" w:before="156" w:afterLines="50" w:after="156"/>
        <w:rPr>
          <w:lang w:eastAsia="ja-JP"/>
        </w:rPr>
      </w:pPr>
      <w:r>
        <w:rPr>
          <w:rFonts w:ascii="Times New Roman" w:hAnsi="Times New Roman"/>
          <w:sz w:val="20"/>
          <w:szCs w:val="20"/>
          <w:lang w:val="en-GB"/>
        </w:rPr>
        <w:t xml:space="preserve">For </w:t>
      </w:r>
      <w:r w:rsidR="0017322D">
        <w:rPr>
          <w:rFonts w:ascii="Times New Roman" w:hAnsi="Times New Roman"/>
          <w:sz w:val="20"/>
          <w:szCs w:val="20"/>
          <w:lang w:val="en-GB"/>
        </w:rPr>
        <w:t xml:space="preserve">one of </w:t>
      </w:r>
      <w:r>
        <w:rPr>
          <w:rFonts w:ascii="Times New Roman" w:hAnsi="Times New Roman"/>
          <w:sz w:val="20"/>
          <w:szCs w:val="20"/>
          <w:lang w:val="en-GB"/>
        </w:rPr>
        <w:t>the potential alternatives,</w:t>
      </w:r>
      <w:r w:rsidR="00706D58">
        <w:rPr>
          <w:rFonts w:ascii="Times New Roman" w:hAnsi="Times New Roman"/>
          <w:sz w:val="20"/>
          <w:szCs w:val="20"/>
          <w:lang w:val="en-GB"/>
        </w:rPr>
        <w:t xml:space="preserve"> </w:t>
      </w:r>
      <w:r w:rsidR="005971D8">
        <w:rPr>
          <w:rFonts w:ascii="Times New Roman" w:hAnsi="Times New Roman"/>
          <w:sz w:val="20"/>
          <w:szCs w:val="20"/>
          <w:lang w:val="en-GB"/>
        </w:rPr>
        <w:t xml:space="preserve">defining </w:t>
      </w:r>
      <w:r w:rsidR="00706D58">
        <w:rPr>
          <w:rFonts w:ascii="Times New Roman" w:hAnsi="Times New Roman"/>
          <w:sz w:val="20"/>
          <w:szCs w:val="20"/>
          <w:lang w:val="en-GB"/>
        </w:rPr>
        <w:t>new ACs for the REDCAP use cases can provide finer granularity</w:t>
      </w:r>
      <w:r w:rsidR="0033514F">
        <w:rPr>
          <w:rFonts w:ascii="Times New Roman" w:hAnsi="Times New Roman"/>
          <w:sz w:val="20"/>
          <w:szCs w:val="20"/>
          <w:lang w:val="en-GB"/>
        </w:rPr>
        <w:t xml:space="preserve"> for the access control when multiple REDCAP use cases are supported in the same cell</w:t>
      </w:r>
      <w:r w:rsidR="00BA10B5">
        <w:rPr>
          <w:rFonts w:ascii="Times New Roman" w:hAnsi="Times New Roman"/>
          <w:sz w:val="20"/>
          <w:szCs w:val="20"/>
          <w:lang w:val="en-GB"/>
        </w:rPr>
        <w:t>. It can be realized by broadcast</w:t>
      </w:r>
      <w:r w:rsidR="00005420">
        <w:rPr>
          <w:rFonts w:ascii="Times New Roman" w:hAnsi="Times New Roman"/>
          <w:sz w:val="20"/>
          <w:szCs w:val="20"/>
          <w:lang w:val="en-GB"/>
        </w:rPr>
        <w:t>ing</w:t>
      </w:r>
      <w:r w:rsidR="00BA10B5">
        <w:rPr>
          <w:rFonts w:ascii="Times New Roman" w:hAnsi="Times New Roman"/>
          <w:sz w:val="20"/>
          <w:szCs w:val="20"/>
          <w:lang w:val="en-GB"/>
        </w:rPr>
        <w:t xml:space="preserve"> the UAC parameter e.g. access probability corresponding to each of use cases. But </w:t>
      </w:r>
      <w:r w:rsidR="00005420">
        <w:rPr>
          <w:rFonts w:ascii="Times New Roman" w:hAnsi="Times New Roman"/>
          <w:sz w:val="20"/>
          <w:szCs w:val="20"/>
          <w:lang w:val="en-GB"/>
        </w:rPr>
        <w:t>the</w:t>
      </w:r>
      <w:r w:rsidR="00E96383">
        <w:rPr>
          <w:rFonts w:ascii="Times New Roman" w:hAnsi="Times New Roman"/>
          <w:sz w:val="20"/>
          <w:szCs w:val="20"/>
          <w:lang w:val="en-GB"/>
        </w:rPr>
        <w:t xml:space="preserve"> </w:t>
      </w:r>
      <w:r w:rsidR="00E96383" w:rsidRPr="00E96383">
        <w:rPr>
          <w:rFonts w:ascii="Times New Roman" w:hAnsi="Times New Roman"/>
          <w:sz w:val="20"/>
          <w:szCs w:val="20"/>
          <w:lang w:val="en-GB"/>
        </w:rPr>
        <w:t>implementation is relatively complex</w:t>
      </w:r>
      <w:r w:rsidR="00005420">
        <w:rPr>
          <w:rFonts w:ascii="Times New Roman" w:hAnsi="Times New Roman"/>
          <w:sz w:val="20"/>
          <w:szCs w:val="20"/>
          <w:lang w:val="en-GB"/>
        </w:rPr>
        <w:t xml:space="preserve"> especially considering of the </w:t>
      </w:r>
      <w:r w:rsidR="00E96383">
        <w:rPr>
          <w:rFonts w:ascii="Times New Roman" w:hAnsi="Times New Roman"/>
          <w:sz w:val="20"/>
          <w:szCs w:val="20"/>
          <w:lang w:val="en-GB"/>
        </w:rPr>
        <w:t xml:space="preserve">objective of </w:t>
      </w:r>
      <w:r w:rsidR="00E96383" w:rsidRPr="00930AAB">
        <w:rPr>
          <w:rFonts w:ascii="Times New Roman" w:hAnsi="Times New Roman"/>
          <w:sz w:val="20"/>
          <w:szCs w:val="20"/>
          <w:lang w:eastAsia="ja-JP"/>
        </w:rPr>
        <w:t>UE complexity reduction</w:t>
      </w:r>
      <w:r w:rsidR="00E96383">
        <w:rPr>
          <w:lang w:eastAsia="ja-JP"/>
        </w:rPr>
        <w:t>.</w:t>
      </w:r>
    </w:p>
    <w:p w14:paraId="300B196B" w14:textId="5C466026" w:rsidR="00E96383" w:rsidRDefault="00443939" w:rsidP="00D95FDD">
      <w:pPr>
        <w:spacing w:beforeLines="50" w:before="156" w:afterLines="50" w:after="156"/>
        <w:rPr>
          <w:rFonts w:ascii="Times New Roman" w:eastAsia="等线" w:hAnsi="Times New Roman"/>
          <w:b/>
          <w:sz w:val="20"/>
          <w:szCs w:val="20"/>
        </w:rPr>
      </w:pPr>
      <w:r>
        <w:rPr>
          <w:rFonts w:ascii="Times New Roman" w:eastAsia="等线" w:hAnsi="Times New Roman"/>
          <w:b/>
          <w:sz w:val="20"/>
          <w:szCs w:val="20"/>
        </w:rPr>
        <w:t>Observation 1</w:t>
      </w:r>
      <w:r w:rsidR="00E96383" w:rsidRPr="00704946">
        <w:rPr>
          <w:rFonts w:ascii="Times New Roman" w:eastAsia="等线" w:hAnsi="Times New Roman"/>
          <w:b/>
          <w:sz w:val="20"/>
          <w:szCs w:val="20"/>
        </w:rPr>
        <w:t>:</w:t>
      </w:r>
      <w:r w:rsidR="00E96383">
        <w:rPr>
          <w:rFonts w:ascii="Times New Roman" w:eastAsia="等线" w:hAnsi="Times New Roman"/>
          <w:b/>
          <w:sz w:val="20"/>
          <w:szCs w:val="20"/>
        </w:rPr>
        <w:t xml:space="preserve"> </w:t>
      </w:r>
      <w:r w:rsidR="005971D8">
        <w:rPr>
          <w:rFonts w:ascii="Times New Roman" w:eastAsia="等线" w:hAnsi="Times New Roman"/>
          <w:b/>
          <w:sz w:val="20"/>
          <w:szCs w:val="20"/>
        </w:rPr>
        <w:t>D</w:t>
      </w:r>
      <w:r w:rsidR="005971D8" w:rsidRPr="00D37EEB">
        <w:rPr>
          <w:rFonts w:ascii="Times New Roman" w:eastAsia="等线" w:hAnsi="Times New Roman"/>
          <w:b/>
          <w:sz w:val="20"/>
          <w:szCs w:val="20"/>
        </w:rPr>
        <w:t>efin</w:t>
      </w:r>
      <w:r w:rsidR="005971D8">
        <w:rPr>
          <w:rFonts w:ascii="Times New Roman" w:eastAsia="等线" w:hAnsi="Times New Roman"/>
          <w:b/>
          <w:sz w:val="20"/>
          <w:szCs w:val="20"/>
        </w:rPr>
        <w:t>ing</w:t>
      </w:r>
      <w:r w:rsidR="005971D8" w:rsidRPr="00D37EEB">
        <w:rPr>
          <w:rFonts w:ascii="Times New Roman" w:eastAsia="等线" w:hAnsi="Times New Roman"/>
          <w:b/>
          <w:sz w:val="20"/>
          <w:szCs w:val="20"/>
        </w:rPr>
        <w:t xml:space="preserve"> </w:t>
      </w:r>
      <w:r w:rsidR="00E96383" w:rsidRPr="00D37EEB">
        <w:rPr>
          <w:rFonts w:ascii="Times New Roman" w:eastAsia="等线" w:hAnsi="Times New Roman"/>
          <w:b/>
          <w:sz w:val="20"/>
          <w:szCs w:val="20"/>
        </w:rPr>
        <w:t>new Access Categories associated with</w:t>
      </w:r>
      <w:r w:rsidR="00E96383">
        <w:rPr>
          <w:rFonts w:ascii="Times New Roman" w:eastAsia="等线" w:hAnsi="Times New Roman"/>
          <w:b/>
          <w:sz w:val="20"/>
          <w:szCs w:val="20"/>
        </w:rPr>
        <w:t xml:space="preserve"> the</w:t>
      </w:r>
      <w:r w:rsidR="00E96383" w:rsidRPr="00D37EEB">
        <w:rPr>
          <w:rFonts w:ascii="Times New Roman" w:eastAsia="等线" w:hAnsi="Times New Roman"/>
          <w:b/>
          <w:sz w:val="20"/>
          <w:szCs w:val="20"/>
        </w:rPr>
        <w:t xml:space="preserve"> use cases of REDCAP UEs</w:t>
      </w:r>
      <w:r w:rsidR="00E96383">
        <w:rPr>
          <w:rFonts w:ascii="Times New Roman" w:eastAsia="等线" w:hAnsi="Times New Roman"/>
          <w:b/>
          <w:sz w:val="20"/>
          <w:szCs w:val="20"/>
        </w:rPr>
        <w:t xml:space="preserve"> </w:t>
      </w:r>
      <w:r w:rsidR="009610FC">
        <w:rPr>
          <w:rFonts w:ascii="Times New Roman" w:eastAsia="等线" w:hAnsi="Times New Roman"/>
          <w:b/>
          <w:sz w:val="20"/>
          <w:szCs w:val="20"/>
        </w:rPr>
        <w:t xml:space="preserve">to control the access of the REDCAP UEs </w:t>
      </w:r>
      <w:r w:rsidR="00E96383" w:rsidRPr="00E96383">
        <w:rPr>
          <w:rFonts w:ascii="Times New Roman" w:eastAsia="等线" w:hAnsi="Times New Roman"/>
          <w:b/>
          <w:sz w:val="20"/>
          <w:szCs w:val="20"/>
        </w:rPr>
        <w:t>is relatively complex</w:t>
      </w:r>
      <w:r w:rsidR="00E96383">
        <w:rPr>
          <w:rFonts w:ascii="Times New Roman" w:eastAsia="等线" w:hAnsi="Times New Roman"/>
          <w:b/>
          <w:sz w:val="20"/>
          <w:szCs w:val="20"/>
        </w:rPr>
        <w:t xml:space="preserve">. </w:t>
      </w:r>
      <w:r w:rsidR="00EA467E">
        <w:rPr>
          <w:rFonts w:ascii="Times New Roman" w:eastAsia="等线" w:hAnsi="Times New Roman"/>
          <w:b/>
          <w:sz w:val="20"/>
          <w:szCs w:val="20"/>
        </w:rPr>
        <w:t>I</w:t>
      </w:r>
      <w:r w:rsidR="00E96383">
        <w:rPr>
          <w:rFonts w:ascii="Times New Roman" w:eastAsia="等线" w:hAnsi="Times New Roman"/>
          <w:b/>
          <w:sz w:val="20"/>
          <w:szCs w:val="20"/>
        </w:rPr>
        <w:t>t is not align</w:t>
      </w:r>
      <w:r w:rsidR="005971D8">
        <w:rPr>
          <w:rFonts w:ascii="Times New Roman" w:eastAsia="等线" w:hAnsi="Times New Roman"/>
          <w:b/>
          <w:sz w:val="20"/>
          <w:szCs w:val="20"/>
        </w:rPr>
        <w:t>ed</w:t>
      </w:r>
      <w:r w:rsidR="00E96383">
        <w:rPr>
          <w:rFonts w:ascii="Times New Roman" w:eastAsia="等线" w:hAnsi="Times New Roman"/>
          <w:b/>
          <w:sz w:val="20"/>
          <w:szCs w:val="20"/>
        </w:rPr>
        <w:t xml:space="preserve"> with the objective of </w:t>
      </w:r>
      <w:r w:rsidR="00E96383" w:rsidRPr="00E96383">
        <w:rPr>
          <w:rFonts w:ascii="Times New Roman" w:eastAsia="等线" w:hAnsi="Times New Roman"/>
          <w:b/>
          <w:sz w:val="20"/>
          <w:szCs w:val="20"/>
        </w:rPr>
        <w:t>UE complexity reduction</w:t>
      </w:r>
      <w:r w:rsidR="00EA467E">
        <w:rPr>
          <w:rFonts w:ascii="Times New Roman" w:eastAsia="等线" w:hAnsi="Times New Roman"/>
          <w:b/>
          <w:sz w:val="20"/>
          <w:szCs w:val="20"/>
        </w:rPr>
        <w:t xml:space="preserve"> to some extent</w:t>
      </w:r>
      <w:r w:rsidR="00E96383">
        <w:rPr>
          <w:rFonts w:ascii="Times New Roman" w:eastAsia="等线" w:hAnsi="Times New Roman"/>
          <w:b/>
          <w:sz w:val="20"/>
          <w:szCs w:val="20"/>
        </w:rPr>
        <w:t>.</w:t>
      </w:r>
    </w:p>
    <w:p w14:paraId="482CAE01" w14:textId="63A13C77" w:rsidR="00443939" w:rsidRDefault="00443939" w:rsidP="00D95FDD">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sidR="009F3161">
        <w:rPr>
          <w:rFonts w:ascii="Times New Roman" w:eastAsia="等线" w:hAnsi="Times New Roman"/>
          <w:b/>
          <w:sz w:val="20"/>
          <w:szCs w:val="20"/>
        </w:rPr>
        <w:t>1</w:t>
      </w:r>
      <w:r w:rsidRPr="00704946">
        <w:rPr>
          <w:rFonts w:ascii="Times New Roman" w:eastAsia="等线" w:hAnsi="Times New Roman"/>
          <w:b/>
          <w:sz w:val="20"/>
          <w:szCs w:val="20"/>
        </w:rPr>
        <w:t>:</w:t>
      </w:r>
      <w:r>
        <w:rPr>
          <w:rFonts w:ascii="Times New Roman" w:eastAsia="等线" w:hAnsi="Times New Roman"/>
          <w:b/>
          <w:sz w:val="20"/>
          <w:szCs w:val="20"/>
        </w:rPr>
        <w:t xml:space="preserve"> D</w:t>
      </w:r>
      <w:r w:rsidRPr="00D37EEB">
        <w:rPr>
          <w:rFonts w:ascii="Times New Roman" w:eastAsia="等线" w:hAnsi="Times New Roman"/>
          <w:b/>
          <w:sz w:val="20"/>
          <w:szCs w:val="20"/>
        </w:rPr>
        <w:t>efin</w:t>
      </w:r>
      <w:r>
        <w:rPr>
          <w:rFonts w:ascii="Times New Roman" w:eastAsia="等线" w:hAnsi="Times New Roman"/>
          <w:b/>
          <w:sz w:val="20"/>
          <w:szCs w:val="20"/>
        </w:rPr>
        <w:t>ing</w:t>
      </w:r>
      <w:r w:rsidRPr="00D37EEB">
        <w:rPr>
          <w:rFonts w:ascii="Times New Roman" w:eastAsia="等线" w:hAnsi="Times New Roman"/>
          <w:b/>
          <w:sz w:val="20"/>
          <w:szCs w:val="20"/>
        </w:rPr>
        <w:t xml:space="preserve"> new Access Categories associated with</w:t>
      </w:r>
      <w:r>
        <w:rPr>
          <w:rFonts w:ascii="Times New Roman" w:eastAsia="等线" w:hAnsi="Times New Roman"/>
          <w:b/>
          <w:sz w:val="20"/>
          <w:szCs w:val="20"/>
        </w:rPr>
        <w:t xml:space="preserve"> the</w:t>
      </w:r>
      <w:r w:rsidRPr="00D37EEB">
        <w:rPr>
          <w:rFonts w:ascii="Times New Roman" w:eastAsia="等线" w:hAnsi="Times New Roman"/>
          <w:b/>
          <w:sz w:val="20"/>
          <w:szCs w:val="20"/>
        </w:rPr>
        <w:t xml:space="preserve"> use cases of REDCAP UEs</w:t>
      </w:r>
      <w:r>
        <w:rPr>
          <w:rFonts w:ascii="Times New Roman" w:eastAsia="等线" w:hAnsi="Times New Roman"/>
          <w:b/>
          <w:sz w:val="20"/>
          <w:szCs w:val="20"/>
        </w:rPr>
        <w:t xml:space="preserve"> can provide finer granularity to control the access of the REDCAP UEs</w:t>
      </w:r>
    </w:p>
    <w:p w14:paraId="1E4F97D7" w14:textId="10D2AD04" w:rsidR="006F6D32" w:rsidRPr="006F6D32" w:rsidRDefault="006F6D32" w:rsidP="00D95FDD">
      <w:pPr>
        <w:spacing w:beforeLines="50" w:before="156" w:afterLines="50" w:after="156"/>
        <w:rPr>
          <w:rFonts w:ascii="Times New Roman" w:hAnsi="Times New Roman"/>
          <w:b/>
          <w:sz w:val="20"/>
          <w:szCs w:val="20"/>
          <w:u w:val="single"/>
          <w:lang w:val="en-GB"/>
        </w:rPr>
      </w:pPr>
      <w:r w:rsidRPr="006F6D32">
        <w:rPr>
          <w:rFonts w:ascii="Times New Roman" w:hAnsi="Times New Roman"/>
          <w:b/>
          <w:sz w:val="20"/>
          <w:szCs w:val="20"/>
          <w:u w:val="single"/>
          <w:lang w:val="en-GB"/>
        </w:rPr>
        <w:t xml:space="preserve">Option </w:t>
      </w:r>
      <w:r>
        <w:rPr>
          <w:rFonts w:ascii="Times New Roman" w:hAnsi="Times New Roman"/>
          <w:b/>
          <w:sz w:val="20"/>
          <w:szCs w:val="20"/>
          <w:u w:val="single"/>
          <w:lang w:val="en-GB"/>
        </w:rPr>
        <w:t>2</w:t>
      </w:r>
    </w:p>
    <w:p w14:paraId="34BEAF9F" w14:textId="3C364891" w:rsidR="00A4689B" w:rsidRPr="00A4689B" w:rsidRDefault="006021EE" w:rsidP="00D95FDD">
      <w:pPr>
        <w:spacing w:beforeLines="50" w:before="156" w:afterLines="50" w:after="156"/>
        <w:rPr>
          <w:rFonts w:ascii="Times New Roman" w:hAnsi="Times New Roman"/>
          <w:sz w:val="20"/>
          <w:szCs w:val="20"/>
          <w:lang w:val="en-GB"/>
        </w:rPr>
      </w:pPr>
      <w:r>
        <w:rPr>
          <w:rFonts w:ascii="Times New Roman" w:hAnsi="Times New Roman"/>
          <w:sz w:val="20"/>
          <w:szCs w:val="20"/>
          <w:lang w:val="en-GB"/>
        </w:rPr>
        <w:t>Considering the alternative</w:t>
      </w:r>
      <w:r w:rsidR="007579E6">
        <w:rPr>
          <w:rFonts w:ascii="Times New Roman" w:hAnsi="Times New Roman"/>
          <w:sz w:val="20"/>
          <w:szCs w:val="20"/>
          <w:lang w:val="en-GB"/>
        </w:rPr>
        <w:t xml:space="preserve"> of </w:t>
      </w:r>
      <w:r w:rsidR="003D23F5" w:rsidRPr="003D23F5">
        <w:rPr>
          <w:rFonts w:ascii="Times New Roman" w:hAnsi="Times New Roman"/>
          <w:sz w:val="20"/>
          <w:szCs w:val="20"/>
          <w:lang w:val="en-GB"/>
        </w:rPr>
        <w:t>defin</w:t>
      </w:r>
      <w:r>
        <w:rPr>
          <w:rFonts w:ascii="Times New Roman" w:hAnsi="Times New Roman"/>
          <w:sz w:val="20"/>
          <w:szCs w:val="20"/>
          <w:lang w:val="en-GB"/>
        </w:rPr>
        <w:t>ing</w:t>
      </w:r>
      <w:r w:rsidR="003D23F5" w:rsidRPr="003D23F5">
        <w:rPr>
          <w:rFonts w:ascii="Times New Roman" w:hAnsi="Times New Roman"/>
          <w:sz w:val="20"/>
          <w:szCs w:val="20"/>
          <w:lang w:val="en-GB"/>
        </w:rPr>
        <w:t xml:space="preserve"> </w:t>
      </w:r>
      <w:r w:rsidR="00D95FDD">
        <w:rPr>
          <w:rFonts w:ascii="Times New Roman" w:hAnsi="Times New Roman"/>
          <w:sz w:val="20"/>
          <w:szCs w:val="20"/>
          <w:lang w:val="en-GB"/>
        </w:rPr>
        <w:t xml:space="preserve">one </w:t>
      </w:r>
      <w:r w:rsidR="003D23F5" w:rsidRPr="003D23F5">
        <w:rPr>
          <w:rFonts w:ascii="Times New Roman" w:hAnsi="Times New Roman"/>
          <w:sz w:val="20"/>
          <w:szCs w:val="20"/>
          <w:lang w:val="en-GB"/>
        </w:rPr>
        <w:t>new Access Identity for REDCAP UEs</w:t>
      </w:r>
      <w:r w:rsidR="003D23F5">
        <w:rPr>
          <w:rFonts w:ascii="Times New Roman" w:hAnsi="Times New Roman"/>
          <w:sz w:val="20"/>
          <w:szCs w:val="20"/>
          <w:lang w:val="en-GB"/>
        </w:rPr>
        <w:t xml:space="preserve">, then the network </w:t>
      </w:r>
      <w:r w:rsidR="00D95FDD">
        <w:rPr>
          <w:rFonts w:ascii="Times New Roman" w:hAnsi="Times New Roman"/>
          <w:sz w:val="20"/>
          <w:szCs w:val="20"/>
          <w:lang w:val="en-GB"/>
        </w:rPr>
        <w:t xml:space="preserve">can control the access of all the </w:t>
      </w:r>
      <w:r w:rsidR="00D95FDD" w:rsidRPr="003D23F5">
        <w:rPr>
          <w:rFonts w:ascii="Times New Roman" w:hAnsi="Times New Roman"/>
          <w:sz w:val="20"/>
          <w:szCs w:val="20"/>
          <w:lang w:val="en-GB"/>
        </w:rPr>
        <w:t>REDCAP UEs</w:t>
      </w:r>
      <w:r w:rsidR="00D95FDD">
        <w:rPr>
          <w:rFonts w:ascii="Times New Roman" w:hAnsi="Times New Roman"/>
          <w:sz w:val="20"/>
          <w:szCs w:val="20"/>
          <w:lang w:val="en-GB"/>
        </w:rPr>
        <w:t xml:space="preserve"> as a whole</w:t>
      </w:r>
      <w:r w:rsidR="005636C2">
        <w:rPr>
          <w:rFonts w:ascii="Times New Roman" w:hAnsi="Times New Roman"/>
          <w:sz w:val="20"/>
          <w:szCs w:val="20"/>
          <w:lang w:val="en-GB"/>
        </w:rPr>
        <w:t xml:space="preserve"> and </w:t>
      </w:r>
      <w:r w:rsidR="00B6748C">
        <w:rPr>
          <w:rFonts w:ascii="Times New Roman" w:hAnsi="Times New Roman"/>
          <w:sz w:val="20"/>
          <w:szCs w:val="20"/>
          <w:lang w:val="en-GB"/>
        </w:rPr>
        <w:t xml:space="preserve">differentiate </w:t>
      </w:r>
      <w:r w:rsidR="005636C2">
        <w:rPr>
          <w:rFonts w:ascii="Times New Roman" w:hAnsi="Times New Roman"/>
          <w:sz w:val="20"/>
          <w:szCs w:val="20"/>
          <w:lang w:val="en-GB"/>
        </w:rPr>
        <w:t>it from the access of legacy UEs</w:t>
      </w:r>
      <w:r w:rsidR="00D95FDD">
        <w:rPr>
          <w:rFonts w:ascii="Times New Roman" w:hAnsi="Times New Roman"/>
          <w:sz w:val="20"/>
          <w:szCs w:val="20"/>
          <w:lang w:val="en-GB"/>
        </w:rPr>
        <w:t xml:space="preserve">. </w:t>
      </w:r>
      <w:r w:rsidR="00BA2EC1">
        <w:rPr>
          <w:rFonts w:ascii="Times New Roman" w:hAnsi="Times New Roman"/>
          <w:sz w:val="20"/>
          <w:szCs w:val="20"/>
          <w:lang w:val="en-GB"/>
        </w:rPr>
        <w:t xml:space="preserve">It is simple to implement, although </w:t>
      </w:r>
      <w:r w:rsidR="003D23F5">
        <w:rPr>
          <w:rFonts w:ascii="Times New Roman" w:hAnsi="Times New Roman"/>
          <w:sz w:val="20"/>
          <w:szCs w:val="20"/>
          <w:lang w:val="en-GB"/>
        </w:rPr>
        <w:t xml:space="preserve">the </w:t>
      </w:r>
      <w:r w:rsidR="00D766CA">
        <w:rPr>
          <w:rFonts w:ascii="Times New Roman" w:hAnsi="Times New Roman"/>
          <w:sz w:val="20"/>
          <w:szCs w:val="20"/>
          <w:lang w:val="en-GB"/>
        </w:rPr>
        <w:t>granularity of the a</w:t>
      </w:r>
      <w:r w:rsidR="003D23F5">
        <w:rPr>
          <w:rFonts w:ascii="Times New Roman" w:hAnsi="Times New Roman"/>
          <w:sz w:val="20"/>
          <w:szCs w:val="20"/>
          <w:lang w:val="en-GB"/>
        </w:rPr>
        <w:t xml:space="preserve">ccess control </w:t>
      </w:r>
      <w:r w:rsidR="009822A3">
        <w:rPr>
          <w:rFonts w:ascii="Times New Roman" w:hAnsi="Times New Roman"/>
          <w:sz w:val="20"/>
          <w:szCs w:val="20"/>
          <w:lang w:val="en-GB"/>
        </w:rPr>
        <w:t xml:space="preserve">may </w:t>
      </w:r>
      <w:r w:rsidR="003D23F5">
        <w:rPr>
          <w:rFonts w:ascii="Times New Roman" w:hAnsi="Times New Roman"/>
          <w:sz w:val="20"/>
          <w:szCs w:val="20"/>
          <w:lang w:val="en-GB"/>
        </w:rPr>
        <w:t xml:space="preserve">not </w:t>
      </w:r>
      <w:r w:rsidR="009822A3">
        <w:rPr>
          <w:rFonts w:ascii="Times New Roman" w:hAnsi="Times New Roman"/>
          <w:sz w:val="20"/>
          <w:szCs w:val="20"/>
          <w:lang w:val="en-GB"/>
        </w:rPr>
        <w:t xml:space="preserve">be </w:t>
      </w:r>
      <w:r w:rsidR="003D23F5">
        <w:rPr>
          <w:rFonts w:ascii="Times New Roman" w:hAnsi="Times New Roman"/>
          <w:sz w:val="20"/>
          <w:szCs w:val="20"/>
          <w:lang w:val="en-GB"/>
        </w:rPr>
        <w:t xml:space="preserve">fine </w:t>
      </w:r>
      <w:r w:rsidR="00D766CA">
        <w:rPr>
          <w:rFonts w:ascii="Times New Roman" w:hAnsi="Times New Roman"/>
          <w:sz w:val="20"/>
          <w:szCs w:val="20"/>
          <w:lang w:val="en-GB"/>
        </w:rPr>
        <w:t xml:space="preserve">enough </w:t>
      </w:r>
      <w:r w:rsidR="003D23F5">
        <w:rPr>
          <w:rFonts w:ascii="Times New Roman" w:hAnsi="Times New Roman"/>
          <w:sz w:val="20"/>
          <w:szCs w:val="20"/>
          <w:lang w:val="en-GB"/>
        </w:rPr>
        <w:t xml:space="preserve">from the perspective of use cases. </w:t>
      </w:r>
    </w:p>
    <w:p w14:paraId="12644241" w14:textId="204A4481" w:rsidR="00A4689B"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sidR="009F3161">
        <w:rPr>
          <w:rFonts w:ascii="Times New Roman" w:eastAsia="等线" w:hAnsi="Times New Roman"/>
          <w:b/>
          <w:sz w:val="20"/>
          <w:szCs w:val="20"/>
        </w:rPr>
        <w:t>2</w:t>
      </w:r>
      <w:r w:rsidRPr="00704946">
        <w:rPr>
          <w:rFonts w:ascii="Times New Roman" w:eastAsia="等线" w:hAnsi="Times New Roman"/>
          <w:b/>
          <w:sz w:val="20"/>
          <w:szCs w:val="20"/>
        </w:rPr>
        <w:t xml:space="preserve">: </w:t>
      </w:r>
      <w:r w:rsidR="00167726" w:rsidRPr="00167726">
        <w:rPr>
          <w:rFonts w:ascii="Times New Roman" w:eastAsia="等线" w:hAnsi="Times New Roman"/>
          <w:b/>
          <w:sz w:val="20"/>
          <w:szCs w:val="20"/>
        </w:rPr>
        <w:t xml:space="preserve">It is simple to </w:t>
      </w:r>
      <w:r w:rsidR="00167726">
        <w:rPr>
          <w:rFonts w:ascii="Times New Roman" w:eastAsia="等线" w:hAnsi="Times New Roman"/>
          <w:b/>
          <w:sz w:val="20"/>
          <w:szCs w:val="20"/>
        </w:rPr>
        <w:t>control of the REDCAP UE</w:t>
      </w:r>
      <w:r w:rsidR="00391F8D">
        <w:rPr>
          <w:rFonts w:ascii="Times New Roman" w:eastAsia="等线" w:hAnsi="Times New Roman"/>
          <w:b/>
          <w:sz w:val="20"/>
          <w:szCs w:val="20"/>
        </w:rPr>
        <w:t>s to</w:t>
      </w:r>
      <w:r w:rsidR="00167726">
        <w:rPr>
          <w:rFonts w:ascii="Times New Roman" w:eastAsia="等线" w:hAnsi="Times New Roman"/>
          <w:b/>
          <w:sz w:val="20"/>
          <w:szCs w:val="20"/>
        </w:rPr>
        <w:t xml:space="preserve"> access to the network by defining </w:t>
      </w:r>
      <w:r w:rsidR="00167726" w:rsidRPr="00167726">
        <w:rPr>
          <w:rFonts w:ascii="Times New Roman" w:eastAsia="等线" w:hAnsi="Times New Roman"/>
          <w:b/>
          <w:sz w:val="20"/>
          <w:szCs w:val="20"/>
        </w:rPr>
        <w:t>ne</w:t>
      </w:r>
      <w:r w:rsidR="00C00223">
        <w:rPr>
          <w:rFonts w:ascii="Times New Roman" w:eastAsia="等线" w:hAnsi="Times New Roman"/>
          <w:b/>
          <w:sz w:val="20"/>
          <w:szCs w:val="20"/>
        </w:rPr>
        <w:t>w Access Identity for REDCAP UE</w:t>
      </w:r>
      <w:r w:rsidR="00167726">
        <w:rPr>
          <w:rFonts w:ascii="Times New Roman" w:eastAsia="等线" w:hAnsi="Times New Roman"/>
          <w:b/>
          <w:sz w:val="20"/>
          <w:szCs w:val="20"/>
        </w:rPr>
        <w:t xml:space="preserve">. </w:t>
      </w:r>
    </w:p>
    <w:p w14:paraId="4FE3A827" w14:textId="77777777" w:rsidR="00931254" w:rsidRPr="008E22C9" w:rsidRDefault="00931254" w:rsidP="00931254">
      <w:pPr>
        <w:spacing w:afterLines="50" w:after="156"/>
        <w:rPr>
          <w:rFonts w:ascii="Times New Roman" w:hAnsi="Times New Roman"/>
          <w:b/>
          <w:sz w:val="20"/>
          <w:szCs w:val="20"/>
        </w:rPr>
      </w:pPr>
    </w:p>
    <w:p w14:paraId="6BB6B67C"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3"/>
    <w:p w14:paraId="5B83967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1E955966" w14:textId="3CD93009" w:rsidR="003D57B4" w:rsidRPr="009610FC" w:rsidRDefault="00857A54" w:rsidP="003D57B4">
      <w:pPr>
        <w:spacing w:beforeLines="50" w:before="156" w:afterLines="50" w:after="156"/>
        <w:rPr>
          <w:rFonts w:ascii="Times New Roman" w:hAnsi="Times New Roman"/>
          <w:sz w:val="20"/>
          <w:szCs w:val="20"/>
          <w:lang w:val="en-GB"/>
        </w:rPr>
      </w:pPr>
      <w:r>
        <w:rPr>
          <w:rFonts w:ascii="Times New Roman" w:hAnsi="Times New Roman"/>
          <w:sz w:val="20"/>
          <w:szCs w:val="20"/>
          <w:lang w:val="en-GB"/>
        </w:rPr>
        <w:t>In this contribution, we compare two potential alternatives of UAC enhancement</w:t>
      </w:r>
      <w:r w:rsidRPr="006B023A">
        <w:rPr>
          <w:rFonts w:ascii="Times New Roman" w:hAnsi="Times New Roman"/>
          <w:sz w:val="20"/>
          <w:szCs w:val="20"/>
          <w:lang w:val="en-GB"/>
        </w:rPr>
        <w:t xml:space="preserve"> for R</w:t>
      </w:r>
      <w:r>
        <w:rPr>
          <w:rFonts w:ascii="Times New Roman" w:hAnsi="Times New Roman"/>
          <w:sz w:val="20"/>
          <w:szCs w:val="20"/>
          <w:lang w:val="en-GB"/>
        </w:rPr>
        <w:t>EDCAP</w:t>
      </w:r>
      <w:r w:rsidRPr="006B023A">
        <w:rPr>
          <w:rFonts w:ascii="Times New Roman" w:hAnsi="Times New Roman"/>
          <w:sz w:val="20"/>
          <w:szCs w:val="20"/>
          <w:lang w:val="en-GB"/>
        </w:rPr>
        <w:t xml:space="preserve"> UE</w:t>
      </w:r>
      <w:r>
        <w:rPr>
          <w:rFonts w:ascii="Times New Roman" w:hAnsi="Times New Roman"/>
          <w:sz w:val="20"/>
          <w:szCs w:val="20"/>
          <w:lang w:val="en-GB"/>
        </w:rPr>
        <w:t xml:space="preserve">s. </w:t>
      </w:r>
      <w:r w:rsidR="00BB25F2" w:rsidRPr="006B023A">
        <w:rPr>
          <w:rFonts w:ascii="Times New Roman" w:hAnsi="Times New Roman"/>
          <w:sz w:val="20"/>
          <w:szCs w:val="20"/>
          <w:lang w:val="en-GB"/>
        </w:rPr>
        <w:t xml:space="preserve">As a summary, we have the following proposals on the </w:t>
      </w:r>
      <w:r w:rsidR="001C12C3">
        <w:rPr>
          <w:rFonts w:ascii="Times New Roman" w:hAnsi="Times New Roman"/>
          <w:sz w:val="20"/>
          <w:szCs w:val="20"/>
          <w:lang w:val="en-GB"/>
        </w:rPr>
        <w:t>detailed UAC enhancement</w:t>
      </w:r>
      <w:r w:rsidR="00BB25F2" w:rsidRPr="006B023A">
        <w:rPr>
          <w:rFonts w:ascii="Times New Roman" w:hAnsi="Times New Roman"/>
          <w:sz w:val="20"/>
          <w:szCs w:val="20"/>
          <w:lang w:val="en-GB"/>
        </w:rPr>
        <w:t xml:space="preserve"> for R</w:t>
      </w:r>
      <w:r w:rsidR="0083364C">
        <w:rPr>
          <w:rFonts w:ascii="Times New Roman" w:hAnsi="Times New Roman"/>
          <w:sz w:val="20"/>
          <w:szCs w:val="20"/>
          <w:lang w:val="en-GB"/>
        </w:rPr>
        <w:t>EDCAP</w:t>
      </w:r>
      <w:r w:rsidR="00BB25F2" w:rsidRPr="006B023A">
        <w:rPr>
          <w:rFonts w:ascii="Times New Roman" w:hAnsi="Times New Roman"/>
          <w:sz w:val="20"/>
          <w:szCs w:val="20"/>
          <w:lang w:val="en-GB"/>
        </w:rPr>
        <w:t xml:space="preserve"> UE</w:t>
      </w:r>
      <w:r w:rsidR="00B36375">
        <w:rPr>
          <w:rFonts w:ascii="Times New Roman" w:hAnsi="Times New Roman"/>
          <w:sz w:val="20"/>
          <w:szCs w:val="20"/>
          <w:lang w:val="en-GB"/>
        </w:rPr>
        <w:t>s</w:t>
      </w:r>
      <w:r w:rsidR="001B527E">
        <w:rPr>
          <w:rFonts w:ascii="Times New Roman" w:hAnsi="Times New Roman"/>
          <w:sz w:val="20"/>
          <w:szCs w:val="20"/>
          <w:lang w:val="en-GB"/>
        </w:rPr>
        <w:t>:</w:t>
      </w:r>
    </w:p>
    <w:p w14:paraId="6D7558A7" w14:textId="77777777" w:rsidR="009F3161" w:rsidRDefault="009F3161" w:rsidP="009F3161">
      <w:pPr>
        <w:spacing w:beforeLines="50" w:before="156" w:afterLines="50" w:after="156"/>
        <w:rPr>
          <w:rFonts w:ascii="Times New Roman" w:eastAsia="等线" w:hAnsi="Times New Roman"/>
          <w:b/>
          <w:sz w:val="20"/>
          <w:szCs w:val="20"/>
        </w:rPr>
      </w:pPr>
      <w:r>
        <w:rPr>
          <w:rFonts w:ascii="Times New Roman" w:eastAsia="等线" w:hAnsi="Times New Roman"/>
          <w:b/>
          <w:sz w:val="20"/>
          <w:szCs w:val="20"/>
        </w:rPr>
        <w:t>Observation 1</w:t>
      </w:r>
      <w:r w:rsidRPr="00704946">
        <w:rPr>
          <w:rFonts w:ascii="Times New Roman" w:eastAsia="等线" w:hAnsi="Times New Roman"/>
          <w:b/>
          <w:sz w:val="20"/>
          <w:szCs w:val="20"/>
        </w:rPr>
        <w:t>:</w:t>
      </w:r>
      <w:r>
        <w:rPr>
          <w:rFonts w:ascii="Times New Roman" w:eastAsia="等线" w:hAnsi="Times New Roman"/>
          <w:b/>
          <w:sz w:val="20"/>
          <w:szCs w:val="20"/>
        </w:rPr>
        <w:t xml:space="preserve"> D</w:t>
      </w:r>
      <w:r w:rsidRPr="00D37EEB">
        <w:rPr>
          <w:rFonts w:ascii="Times New Roman" w:eastAsia="等线" w:hAnsi="Times New Roman"/>
          <w:b/>
          <w:sz w:val="20"/>
          <w:szCs w:val="20"/>
        </w:rPr>
        <w:t>efin</w:t>
      </w:r>
      <w:r>
        <w:rPr>
          <w:rFonts w:ascii="Times New Roman" w:eastAsia="等线" w:hAnsi="Times New Roman"/>
          <w:b/>
          <w:sz w:val="20"/>
          <w:szCs w:val="20"/>
        </w:rPr>
        <w:t>ing</w:t>
      </w:r>
      <w:r w:rsidRPr="00D37EEB">
        <w:rPr>
          <w:rFonts w:ascii="Times New Roman" w:eastAsia="等线" w:hAnsi="Times New Roman"/>
          <w:b/>
          <w:sz w:val="20"/>
          <w:szCs w:val="20"/>
        </w:rPr>
        <w:t xml:space="preserve"> new Access Categories associated with</w:t>
      </w:r>
      <w:r>
        <w:rPr>
          <w:rFonts w:ascii="Times New Roman" w:eastAsia="等线" w:hAnsi="Times New Roman"/>
          <w:b/>
          <w:sz w:val="20"/>
          <w:szCs w:val="20"/>
        </w:rPr>
        <w:t xml:space="preserve"> the</w:t>
      </w:r>
      <w:r w:rsidRPr="00D37EEB">
        <w:rPr>
          <w:rFonts w:ascii="Times New Roman" w:eastAsia="等线" w:hAnsi="Times New Roman"/>
          <w:b/>
          <w:sz w:val="20"/>
          <w:szCs w:val="20"/>
        </w:rPr>
        <w:t xml:space="preserve"> use cases of REDCAP UEs</w:t>
      </w:r>
      <w:r>
        <w:rPr>
          <w:rFonts w:ascii="Times New Roman" w:eastAsia="等线" w:hAnsi="Times New Roman"/>
          <w:b/>
          <w:sz w:val="20"/>
          <w:szCs w:val="20"/>
        </w:rPr>
        <w:t xml:space="preserve"> to control the access of the REDCAP UEs </w:t>
      </w:r>
      <w:r w:rsidRPr="00E96383">
        <w:rPr>
          <w:rFonts w:ascii="Times New Roman" w:eastAsia="等线" w:hAnsi="Times New Roman"/>
          <w:b/>
          <w:sz w:val="20"/>
          <w:szCs w:val="20"/>
        </w:rPr>
        <w:t>is relatively complex</w:t>
      </w:r>
      <w:r>
        <w:rPr>
          <w:rFonts w:ascii="Times New Roman" w:eastAsia="等线" w:hAnsi="Times New Roman"/>
          <w:b/>
          <w:sz w:val="20"/>
          <w:szCs w:val="20"/>
        </w:rPr>
        <w:t xml:space="preserve">. It is not aligned with the objective of </w:t>
      </w:r>
      <w:r w:rsidRPr="00E96383">
        <w:rPr>
          <w:rFonts w:ascii="Times New Roman" w:eastAsia="等线" w:hAnsi="Times New Roman"/>
          <w:b/>
          <w:sz w:val="20"/>
          <w:szCs w:val="20"/>
        </w:rPr>
        <w:t>UE complexity reduction</w:t>
      </w:r>
      <w:r>
        <w:rPr>
          <w:rFonts w:ascii="Times New Roman" w:eastAsia="等线" w:hAnsi="Times New Roman"/>
          <w:b/>
          <w:sz w:val="20"/>
          <w:szCs w:val="20"/>
        </w:rPr>
        <w:t xml:space="preserve"> to some extent.</w:t>
      </w:r>
    </w:p>
    <w:p w14:paraId="4AB70DEE" w14:textId="7300D79E" w:rsidR="009F3161" w:rsidRPr="009F3161" w:rsidRDefault="009F3161" w:rsidP="009F3161">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Pr>
          <w:rFonts w:ascii="Times New Roman" w:eastAsia="等线" w:hAnsi="Times New Roman"/>
          <w:b/>
          <w:sz w:val="20"/>
          <w:szCs w:val="20"/>
        </w:rPr>
        <w:t>1</w:t>
      </w:r>
      <w:r w:rsidRPr="00704946">
        <w:rPr>
          <w:rFonts w:ascii="Times New Roman" w:eastAsia="等线" w:hAnsi="Times New Roman"/>
          <w:b/>
          <w:sz w:val="20"/>
          <w:szCs w:val="20"/>
        </w:rPr>
        <w:t>:</w:t>
      </w:r>
      <w:r>
        <w:rPr>
          <w:rFonts w:ascii="Times New Roman" w:eastAsia="等线" w:hAnsi="Times New Roman"/>
          <w:b/>
          <w:sz w:val="20"/>
          <w:szCs w:val="20"/>
        </w:rPr>
        <w:t xml:space="preserve"> D</w:t>
      </w:r>
      <w:r w:rsidRPr="00D37EEB">
        <w:rPr>
          <w:rFonts w:ascii="Times New Roman" w:eastAsia="等线" w:hAnsi="Times New Roman"/>
          <w:b/>
          <w:sz w:val="20"/>
          <w:szCs w:val="20"/>
        </w:rPr>
        <w:t>efin</w:t>
      </w:r>
      <w:r>
        <w:rPr>
          <w:rFonts w:ascii="Times New Roman" w:eastAsia="等线" w:hAnsi="Times New Roman"/>
          <w:b/>
          <w:sz w:val="20"/>
          <w:szCs w:val="20"/>
        </w:rPr>
        <w:t>ing</w:t>
      </w:r>
      <w:r w:rsidRPr="00D37EEB">
        <w:rPr>
          <w:rFonts w:ascii="Times New Roman" w:eastAsia="等线" w:hAnsi="Times New Roman"/>
          <w:b/>
          <w:sz w:val="20"/>
          <w:szCs w:val="20"/>
        </w:rPr>
        <w:t xml:space="preserve"> new Access Categories associated with</w:t>
      </w:r>
      <w:r>
        <w:rPr>
          <w:rFonts w:ascii="Times New Roman" w:eastAsia="等线" w:hAnsi="Times New Roman"/>
          <w:b/>
          <w:sz w:val="20"/>
          <w:szCs w:val="20"/>
        </w:rPr>
        <w:t xml:space="preserve"> the</w:t>
      </w:r>
      <w:r w:rsidRPr="00D37EEB">
        <w:rPr>
          <w:rFonts w:ascii="Times New Roman" w:eastAsia="等线" w:hAnsi="Times New Roman"/>
          <w:b/>
          <w:sz w:val="20"/>
          <w:szCs w:val="20"/>
        </w:rPr>
        <w:t xml:space="preserve"> use cases of REDCAP UEs</w:t>
      </w:r>
      <w:r>
        <w:rPr>
          <w:rFonts w:ascii="Times New Roman" w:eastAsia="等线" w:hAnsi="Times New Roman"/>
          <w:b/>
          <w:sz w:val="20"/>
          <w:szCs w:val="20"/>
        </w:rPr>
        <w:t xml:space="preserve"> can provide finer granularity to control the access of the REDCAP UEs</w:t>
      </w:r>
      <w:r w:rsidR="0058548B">
        <w:rPr>
          <w:rFonts w:ascii="Times New Roman" w:eastAsia="等线" w:hAnsi="Times New Roman"/>
          <w:b/>
          <w:sz w:val="20"/>
          <w:szCs w:val="20"/>
        </w:rPr>
        <w:t>.</w:t>
      </w:r>
      <w:r>
        <w:rPr>
          <w:rFonts w:ascii="Times New Roman" w:hAnsi="Times New Roman"/>
          <w:sz w:val="20"/>
          <w:szCs w:val="20"/>
          <w:lang w:val="en-GB"/>
        </w:rPr>
        <w:t xml:space="preserve"> </w:t>
      </w:r>
    </w:p>
    <w:p w14:paraId="3E732E11" w14:textId="360A0E1E" w:rsidR="003373A5" w:rsidRPr="00704946" w:rsidRDefault="009F3161" w:rsidP="009F3161">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Pr>
          <w:rFonts w:ascii="Times New Roman" w:eastAsia="等线" w:hAnsi="Times New Roman"/>
          <w:b/>
          <w:sz w:val="20"/>
          <w:szCs w:val="20"/>
        </w:rPr>
        <w:t>2</w:t>
      </w:r>
      <w:r w:rsidRPr="00704946">
        <w:rPr>
          <w:rFonts w:ascii="Times New Roman" w:eastAsia="等线" w:hAnsi="Times New Roman"/>
          <w:b/>
          <w:sz w:val="20"/>
          <w:szCs w:val="20"/>
        </w:rPr>
        <w:t xml:space="preserve">: </w:t>
      </w:r>
      <w:r w:rsidRPr="00167726">
        <w:rPr>
          <w:rFonts w:ascii="Times New Roman" w:eastAsia="等线" w:hAnsi="Times New Roman"/>
          <w:b/>
          <w:sz w:val="20"/>
          <w:szCs w:val="20"/>
        </w:rPr>
        <w:t xml:space="preserve">It is simple to </w:t>
      </w:r>
      <w:r>
        <w:rPr>
          <w:rFonts w:ascii="Times New Roman" w:eastAsia="等线" w:hAnsi="Times New Roman"/>
          <w:b/>
          <w:sz w:val="20"/>
          <w:szCs w:val="20"/>
        </w:rPr>
        <w:t xml:space="preserve">control of the REDCAP UEs to access to the network by defining </w:t>
      </w:r>
      <w:r w:rsidRPr="00167726">
        <w:rPr>
          <w:rFonts w:ascii="Times New Roman" w:eastAsia="等线" w:hAnsi="Times New Roman"/>
          <w:b/>
          <w:sz w:val="20"/>
          <w:szCs w:val="20"/>
        </w:rPr>
        <w:t>ne</w:t>
      </w:r>
      <w:r w:rsidR="00C00223">
        <w:rPr>
          <w:rFonts w:ascii="Times New Roman" w:eastAsia="等线" w:hAnsi="Times New Roman"/>
          <w:b/>
          <w:sz w:val="20"/>
          <w:szCs w:val="20"/>
        </w:rPr>
        <w:t>w Access Identity for REDCAP UE</w:t>
      </w:r>
      <w:r>
        <w:rPr>
          <w:rFonts w:ascii="Times New Roman" w:eastAsia="等线" w:hAnsi="Times New Roman"/>
          <w:b/>
          <w:sz w:val="20"/>
          <w:szCs w:val="20"/>
        </w:rPr>
        <w:t xml:space="preserve">. </w:t>
      </w:r>
      <w:r w:rsidR="0083364C" w:rsidRPr="0083364C">
        <w:rPr>
          <w:rFonts w:ascii="Times New Roman" w:eastAsia="等线" w:hAnsi="Times New Roman"/>
          <w:b/>
          <w:sz w:val="20"/>
          <w:szCs w:val="20"/>
        </w:rPr>
        <w:t xml:space="preserve">   </w:t>
      </w:r>
    </w:p>
    <w:p w14:paraId="551FFAFB" w14:textId="77777777" w:rsidR="00CC607B" w:rsidRPr="003373A5" w:rsidRDefault="00CC607B" w:rsidP="00233CF2">
      <w:pPr>
        <w:spacing w:afterLines="50" w:after="156"/>
        <w:rPr>
          <w:rFonts w:ascii="Times New Roman" w:hAnsi="Times New Roman"/>
          <w:b/>
          <w:sz w:val="20"/>
          <w:szCs w:val="20"/>
        </w:rPr>
      </w:pPr>
    </w:p>
    <w:p w14:paraId="46EC4F8B"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25F6460B" w14:textId="44D86478" w:rsidR="002E4027" w:rsidRDefault="000F0AC6" w:rsidP="00C018C1">
      <w:pPr>
        <w:pStyle w:val="References"/>
      </w:pPr>
      <w:r>
        <w:t>RAN2#11</w:t>
      </w:r>
      <w:r w:rsidR="002A7599">
        <w:t>2</w:t>
      </w:r>
      <w:r>
        <w:t>-e chairman note.</w:t>
      </w:r>
    </w:p>
    <w:p w14:paraId="662BA3FC" w14:textId="10D95C26" w:rsidR="00531F43" w:rsidRPr="00365EAC" w:rsidRDefault="00531F43" w:rsidP="00BA76CB">
      <w:pPr>
        <w:pStyle w:val="References"/>
      </w:pPr>
      <w:r w:rsidRPr="00C018C1">
        <w:t>R2-20</w:t>
      </w:r>
      <w:r w:rsidR="00BA76CB">
        <w:t>10786</w:t>
      </w:r>
      <w:r>
        <w:t>,</w:t>
      </w:r>
      <w:r w:rsidR="00BA76CB">
        <w:t xml:space="preserve"> </w:t>
      </w:r>
      <w:r w:rsidR="00BA76CB" w:rsidRPr="00BA76CB">
        <w:t>Summary of offline 113 - RedCap identification and access restrictions</w:t>
      </w:r>
      <w:r>
        <w:t>,</w:t>
      </w:r>
      <w:r w:rsidR="00BA76CB" w:rsidRPr="00BA76CB">
        <w:t xml:space="preserve"> </w:t>
      </w:r>
      <w:r w:rsidR="00BA76CB">
        <w:t>Huawe</w:t>
      </w:r>
      <w:r w:rsidR="0049786B">
        <w:t>i</w:t>
      </w:r>
    </w:p>
    <w:p w14:paraId="2A28A3F5" w14:textId="77777777" w:rsidR="00C67B3D" w:rsidRPr="00D13510" w:rsidRDefault="00C67B3D" w:rsidP="00D13510">
      <w:pPr>
        <w:rPr>
          <w:lang w:eastAsia="en-US"/>
        </w:rPr>
      </w:pPr>
    </w:p>
    <w:sectPr w:rsidR="00C67B3D" w:rsidRPr="00D1351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B008D5" w16cid:durableId="23319B70"/>
  <w16cid:commentId w16cid:paraId="1F91569D" w16cid:durableId="2337E6AB"/>
  <w16cid:commentId w16cid:paraId="311380B8" w16cid:durableId="23319C8C"/>
  <w16cid:commentId w16cid:paraId="526DABA1" w16cid:durableId="2332E968"/>
  <w16cid:commentId w16cid:paraId="5B3BDCD9" w16cid:durableId="2337E6AE"/>
  <w16cid:commentId w16cid:paraId="2C5466BC" w16cid:durableId="2332E999"/>
  <w16cid:commentId w16cid:paraId="31D7634A" w16cid:durableId="2337E6B0"/>
  <w16cid:commentId w16cid:paraId="615B2014" w16cid:durableId="2331A0C7"/>
  <w16cid:commentId w16cid:paraId="4EE68357" w16cid:durableId="2337E6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F4C9D" w14:textId="77777777" w:rsidR="00886277" w:rsidRDefault="00886277">
      <w:r>
        <w:separator/>
      </w:r>
    </w:p>
  </w:endnote>
  <w:endnote w:type="continuationSeparator" w:id="0">
    <w:p w14:paraId="07F2DB56" w14:textId="77777777" w:rsidR="00886277" w:rsidRDefault="0088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6081" w14:textId="5E585BC7" w:rsidR="003118C5" w:rsidRDefault="003118C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1406">
      <w:rPr>
        <w:rFonts w:ascii="Arial" w:hAnsi="Arial" w:cs="Arial"/>
        <w:b/>
        <w:noProof/>
        <w:sz w:val="18"/>
        <w:szCs w:val="18"/>
      </w:rPr>
      <w:t>1</w:t>
    </w:r>
    <w:r>
      <w:rPr>
        <w:rFonts w:ascii="Arial" w:hAnsi="Arial" w:cs="Arial"/>
        <w:b/>
        <w:sz w:val="18"/>
        <w:szCs w:val="18"/>
      </w:rPr>
      <w:fldChar w:fldCharType="end"/>
    </w:r>
  </w:p>
  <w:p w14:paraId="304130CC" w14:textId="77777777" w:rsidR="003118C5" w:rsidRDefault="003118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D3910" w14:textId="77777777" w:rsidR="00886277" w:rsidRDefault="00886277">
      <w:r>
        <w:separator/>
      </w:r>
    </w:p>
  </w:footnote>
  <w:footnote w:type="continuationSeparator" w:id="0">
    <w:p w14:paraId="264E040B" w14:textId="77777777" w:rsidR="00886277" w:rsidRDefault="00886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992B09"/>
    <w:multiLevelType w:val="hybridMultilevel"/>
    <w:tmpl w:val="65328C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0" w15:restartNumberingAfterBreak="0">
    <w:nsid w:val="680C530F"/>
    <w:multiLevelType w:val="hybridMultilevel"/>
    <w:tmpl w:val="197E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5"/>
  </w:num>
  <w:num w:numId="4">
    <w:abstractNumId w:val="3"/>
  </w:num>
  <w:num w:numId="5">
    <w:abstractNumId w:val="26"/>
  </w:num>
  <w:num w:numId="6">
    <w:abstractNumId w:val="9"/>
  </w:num>
  <w:num w:numId="7">
    <w:abstractNumId w:val="6"/>
  </w:num>
  <w:num w:numId="8">
    <w:abstractNumId w:val="19"/>
  </w:num>
  <w:num w:numId="9">
    <w:abstractNumId w:val="4"/>
  </w:num>
  <w:num w:numId="10">
    <w:abstractNumId w:val="14"/>
  </w:num>
  <w:num w:numId="11">
    <w:abstractNumId w:val="16"/>
  </w:num>
  <w:num w:numId="12">
    <w:abstractNumId w:val="12"/>
  </w:num>
  <w:num w:numId="13">
    <w:abstractNumId w:val="17"/>
  </w:num>
  <w:num w:numId="14">
    <w:abstractNumId w:val="8"/>
  </w:num>
  <w:num w:numId="15">
    <w:abstractNumId w:val="1"/>
  </w:num>
  <w:num w:numId="16">
    <w:abstractNumId w:val="13"/>
  </w:num>
  <w:num w:numId="17">
    <w:abstractNumId w:val="23"/>
  </w:num>
  <w:num w:numId="18">
    <w:abstractNumId w:val="15"/>
  </w:num>
  <w:num w:numId="19">
    <w:abstractNumId w:val="23"/>
  </w:num>
  <w:num w:numId="20">
    <w:abstractNumId w:val="22"/>
  </w:num>
  <w:num w:numId="21">
    <w:abstractNumId w:val="23"/>
  </w:num>
  <w:num w:numId="22">
    <w:abstractNumId w:val="18"/>
  </w:num>
  <w:num w:numId="23">
    <w:abstractNumId w:val="7"/>
  </w:num>
  <w:num w:numId="24">
    <w:abstractNumId w:val="24"/>
  </w:num>
  <w:num w:numId="25">
    <w:abstractNumId w:val="10"/>
  </w:num>
  <w:num w:numId="26">
    <w:abstractNumId w:val="2"/>
  </w:num>
  <w:num w:numId="27">
    <w:abstractNumId w:val="7"/>
  </w:num>
  <w:num w:numId="28">
    <w:abstractNumId w:val="21"/>
  </w:num>
  <w:num w:numId="29">
    <w:abstractNumId w:val="20"/>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524"/>
    <w:rsid w:val="00003975"/>
    <w:rsid w:val="00004A15"/>
    <w:rsid w:val="00004A3F"/>
    <w:rsid w:val="00004D3A"/>
    <w:rsid w:val="00005420"/>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4716"/>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2504"/>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D2"/>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032"/>
    <w:rsid w:val="000422D2"/>
    <w:rsid w:val="00042454"/>
    <w:rsid w:val="000425ED"/>
    <w:rsid w:val="00042883"/>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A52"/>
    <w:rsid w:val="00064D91"/>
    <w:rsid w:val="00065039"/>
    <w:rsid w:val="000658FE"/>
    <w:rsid w:val="0006594E"/>
    <w:rsid w:val="00065A1F"/>
    <w:rsid w:val="000679A2"/>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076F"/>
    <w:rsid w:val="000812E9"/>
    <w:rsid w:val="0008166F"/>
    <w:rsid w:val="0008187C"/>
    <w:rsid w:val="00081CE3"/>
    <w:rsid w:val="00081EA2"/>
    <w:rsid w:val="00081ED9"/>
    <w:rsid w:val="000823B8"/>
    <w:rsid w:val="000824BE"/>
    <w:rsid w:val="000827A2"/>
    <w:rsid w:val="000829C2"/>
    <w:rsid w:val="00082BAD"/>
    <w:rsid w:val="00084CE2"/>
    <w:rsid w:val="0008735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2F86"/>
    <w:rsid w:val="000B31D5"/>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5F23"/>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AC6"/>
    <w:rsid w:val="000F0D54"/>
    <w:rsid w:val="000F0FD5"/>
    <w:rsid w:val="000F13F9"/>
    <w:rsid w:val="000F1F63"/>
    <w:rsid w:val="000F1F83"/>
    <w:rsid w:val="000F29D0"/>
    <w:rsid w:val="000F37E5"/>
    <w:rsid w:val="000F405A"/>
    <w:rsid w:val="000F430C"/>
    <w:rsid w:val="000F4ADD"/>
    <w:rsid w:val="000F4C2A"/>
    <w:rsid w:val="000F4F5D"/>
    <w:rsid w:val="000F609C"/>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6EA6"/>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379"/>
    <w:rsid w:val="0012447B"/>
    <w:rsid w:val="00124E30"/>
    <w:rsid w:val="00124EE3"/>
    <w:rsid w:val="00125C99"/>
    <w:rsid w:val="00125E4F"/>
    <w:rsid w:val="0012781A"/>
    <w:rsid w:val="00127A46"/>
    <w:rsid w:val="001301AA"/>
    <w:rsid w:val="00130330"/>
    <w:rsid w:val="00130926"/>
    <w:rsid w:val="00130E9A"/>
    <w:rsid w:val="001314FE"/>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CD1"/>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36B"/>
    <w:rsid w:val="00167523"/>
    <w:rsid w:val="00167726"/>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22D"/>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B35"/>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7E"/>
    <w:rsid w:val="001B52FD"/>
    <w:rsid w:val="001B60AB"/>
    <w:rsid w:val="001B6168"/>
    <w:rsid w:val="001B631C"/>
    <w:rsid w:val="001B637F"/>
    <w:rsid w:val="001B7774"/>
    <w:rsid w:val="001C0672"/>
    <w:rsid w:val="001C09E0"/>
    <w:rsid w:val="001C0B89"/>
    <w:rsid w:val="001C1063"/>
    <w:rsid w:val="001C12C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7FF"/>
    <w:rsid w:val="001D197C"/>
    <w:rsid w:val="001D1BDC"/>
    <w:rsid w:val="001D2B10"/>
    <w:rsid w:val="001D3F11"/>
    <w:rsid w:val="001D43A4"/>
    <w:rsid w:val="001D56C2"/>
    <w:rsid w:val="001D5AED"/>
    <w:rsid w:val="001D603B"/>
    <w:rsid w:val="001D69F7"/>
    <w:rsid w:val="001D6E1A"/>
    <w:rsid w:val="001D703A"/>
    <w:rsid w:val="001D718A"/>
    <w:rsid w:val="001D7BE3"/>
    <w:rsid w:val="001E0088"/>
    <w:rsid w:val="001E0C17"/>
    <w:rsid w:val="001E0EB0"/>
    <w:rsid w:val="001E14AE"/>
    <w:rsid w:val="001E2332"/>
    <w:rsid w:val="001E2A57"/>
    <w:rsid w:val="001E2B90"/>
    <w:rsid w:val="001E3129"/>
    <w:rsid w:val="001E3191"/>
    <w:rsid w:val="001E348D"/>
    <w:rsid w:val="001E34BA"/>
    <w:rsid w:val="001E4E9A"/>
    <w:rsid w:val="001E50FD"/>
    <w:rsid w:val="001E5F37"/>
    <w:rsid w:val="001E6CAC"/>
    <w:rsid w:val="001E6E2B"/>
    <w:rsid w:val="001E7472"/>
    <w:rsid w:val="001E7DF5"/>
    <w:rsid w:val="001F01F5"/>
    <w:rsid w:val="001F0E6C"/>
    <w:rsid w:val="001F10DC"/>
    <w:rsid w:val="001F2365"/>
    <w:rsid w:val="001F26B7"/>
    <w:rsid w:val="001F2817"/>
    <w:rsid w:val="001F2C73"/>
    <w:rsid w:val="001F2DA2"/>
    <w:rsid w:val="001F2E23"/>
    <w:rsid w:val="001F2E95"/>
    <w:rsid w:val="001F40D6"/>
    <w:rsid w:val="001F465B"/>
    <w:rsid w:val="001F4C99"/>
    <w:rsid w:val="001F5109"/>
    <w:rsid w:val="001F5815"/>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267"/>
    <w:rsid w:val="00205853"/>
    <w:rsid w:val="002067B4"/>
    <w:rsid w:val="00207984"/>
    <w:rsid w:val="00207AE9"/>
    <w:rsid w:val="002107FF"/>
    <w:rsid w:val="0021088D"/>
    <w:rsid w:val="00210A1E"/>
    <w:rsid w:val="00211165"/>
    <w:rsid w:val="002111DB"/>
    <w:rsid w:val="0021130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392"/>
    <w:rsid w:val="00220639"/>
    <w:rsid w:val="002216CF"/>
    <w:rsid w:val="00222408"/>
    <w:rsid w:val="00222EC3"/>
    <w:rsid w:val="002247EE"/>
    <w:rsid w:val="00224F53"/>
    <w:rsid w:val="00225649"/>
    <w:rsid w:val="00225746"/>
    <w:rsid w:val="0022632E"/>
    <w:rsid w:val="00226511"/>
    <w:rsid w:val="0022696A"/>
    <w:rsid w:val="00226C37"/>
    <w:rsid w:val="00226D3A"/>
    <w:rsid w:val="00226F32"/>
    <w:rsid w:val="00226FC8"/>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957"/>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50B"/>
    <w:rsid w:val="00253964"/>
    <w:rsid w:val="00253C1A"/>
    <w:rsid w:val="00254C0B"/>
    <w:rsid w:val="00254C89"/>
    <w:rsid w:val="00254D8F"/>
    <w:rsid w:val="00256359"/>
    <w:rsid w:val="00256512"/>
    <w:rsid w:val="00256647"/>
    <w:rsid w:val="00257049"/>
    <w:rsid w:val="00257B29"/>
    <w:rsid w:val="00257BE4"/>
    <w:rsid w:val="00257D77"/>
    <w:rsid w:val="002606AB"/>
    <w:rsid w:val="00262031"/>
    <w:rsid w:val="002624CD"/>
    <w:rsid w:val="00262B75"/>
    <w:rsid w:val="00262BA8"/>
    <w:rsid w:val="0026309C"/>
    <w:rsid w:val="00263687"/>
    <w:rsid w:val="0026375B"/>
    <w:rsid w:val="0026418A"/>
    <w:rsid w:val="00264194"/>
    <w:rsid w:val="002644C3"/>
    <w:rsid w:val="00265BDF"/>
    <w:rsid w:val="00266334"/>
    <w:rsid w:val="002664E5"/>
    <w:rsid w:val="00266EBB"/>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599"/>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46EC"/>
    <w:rsid w:val="002F5D3A"/>
    <w:rsid w:val="002F614A"/>
    <w:rsid w:val="002F64C7"/>
    <w:rsid w:val="002F68BF"/>
    <w:rsid w:val="002F6F14"/>
    <w:rsid w:val="002F7086"/>
    <w:rsid w:val="00300003"/>
    <w:rsid w:val="003004D4"/>
    <w:rsid w:val="00300645"/>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18C5"/>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14F"/>
    <w:rsid w:val="00335D39"/>
    <w:rsid w:val="00335F27"/>
    <w:rsid w:val="00336187"/>
    <w:rsid w:val="003363AB"/>
    <w:rsid w:val="003373A5"/>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5EAC"/>
    <w:rsid w:val="00366286"/>
    <w:rsid w:val="003663F9"/>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600"/>
    <w:rsid w:val="00387A0A"/>
    <w:rsid w:val="00387E52"/>
    <w:rsid w:val="0039198E"/>
    <w:rsid w:val="00391A33"/>
    <w:rsid w:val="00391F8D"/>
    <w:rsid w:val="00392382"/>
    <w:rsid w:val="003924F6"/>
    <w:rsid w:val="0039317E"/>
    <w:rsid w:val="003938EB"/>
    <w:rsid w:val="003939F8"/>
    <w:rsid w:val="00393D14"/>
    <w:rsid w:val="00396D98"/>
    <w:rsid w:val="00397188"/>
    <w:rsid w:val="00397B37"/>
    <w:rsid w:val="00397D28"/>
    <w:rsid w:val="003A03FC"/>
    <w:rsid w:val="003A191B"/>
    <w:rsid w:val="003A273F"/>
    <w:rsid w:val="003A2995"/>
    <w:rsid w:val="003A2A72"/>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36C6"/>
    <w:rsid w:val="003B459D"/>
    <w:rsid w:val="003B5404"/>
    <w:rsid w:val="003B5B4B"/>
    <w:rsid w:val="003B5D7A"/>
    <w:rsid w:val="003B61E7"/>
    <w:rsid w:val="003B6401"/>
    <w:rsid w:val="003B708D"/>
    <w:rsid w:val="003B74C7"/>
    <w:rsid w:val="003B79C9"/>
    <w:rsid w:val="003B7F43"/>
    <w:rsid w:val="003C041C"/>
    <w:rsid w:val="003C0859"/>
    <w:rsid w:val="003C1BAE"/>
    <w:rsid w:val="003C2773"/>
    <w:rsid w:val="003C38EE"/>
    <w:rsid w:val="003C42FB"/>
    <w:rsid w:val="003C4421"/>
    <w:rsid w:val="003C4D3E"/>
    <w:rsid w:val="003C4D7A"/>
    <w:rsid w:val="003C4E5D"/>
    <w:rsid w:val="003C5442"/>
    <w:rsid w:val="003C5471"/>
    <w:rsid w:val="003C5AB2"/>
    <w:rsid w:val="003C5FE5"/>
    <w:rsid w:val="003C68A7"/>
    <w:rsid w:val="003C6984"/>
    <w:rsid w:val="003C7AF5"/>
    <w:rsid w:val="003D02F9"/>
    <w:rsid w:val="003D1061"/>
    <w:rsid w:val="003D1973"/>
    <w:rsid w:val="003D1A04"/>
    <w:rsid w:val="003D1E6F"/>
    <w:rsid w:val="003D1ED9"/>
    <w:rsid w:val="003D23F5"/>
    <w:rsid w:val="003D24C2"/>
    <w:rsid w:val="003D2A2A"/>
    <w:rsid w:val="003D2C9B"/>
    <w:rsid w:val="003D3CE1"/>
    <w:rsid w:val="003D3E66"/>
    <w:rsid w:val="003D43D8"/>
    <w:rsid w:val="003D4654"/>
    <w:rsid w:val="003D4942"/>
    <w:rsid w:val="003D4DAF"/>
    <w:rsid w:val="003D57B4"/>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3BAD"/>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427"/>
    <w:rsid w:val="00406119"/>
    <w:rsid w:val="004071AF"/>
    <w:rsid w:val="004078AB"/>
    <w:rsid w:val="00410007"/>
    <w:rsid w:val="004115D4"/>
    <w:rsid w:val="004115E7"/>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0B66"/>
    <w:rsid w:val="004413AC"/>
    <w:rsid w:val="004413B6"/>
    <w:rsid w:val="0044147C"/>
    <w:rsid w:val="004416DD"/>
    <w:rsid w:val="004418D3"/>
    <w:rsid w:val="00441F45"/>
    <w:rsid w:val="00442031"/>
    <w:rsid w:val="004433B4"/>
    <w:rsid w:val="00443939"/>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98E"/>
    <w:rsid w:val="00467BD1"/>
    <w:rsid w:val="00470584"/>
    <w:rsid w:val="00470640"/>
    <w:rsid w:val="004706C9"/>
    <w:rsid w:val="00470961"/>
    <w:rsid w:val="00470A72"/>
    <w:rsid w:val="00470EC8"/>
    <w:rsid w:val="0047171B"/>
    <w:rsid w:val="00471B39"/>
    <w:rsid w:val="00472128"/>
    <w:rsid w:val="0047337F"/>
    <w:rsid w:val="00473931"/>
    <w:rsid w:val="00473AD0"/>
    <w:rsid w:val="00473DD2"/>
    <w:rsid w:val="00474228"/>
    <w:rsid w:val="0047431E"/>
    <w:rsid w:val="004743C7"/>
    <w:rsid w:val="004744CB"/>
    <w:rsid w:val="004745B2"/>
    <w:rsid w:val="00474CEC"/>
    <w:rsid w:val="00475BB9"/>
    <w:rsid w:val="00477E55"/>
    <w:rsid w:val="00477ED8"/>
    <w:rsid w:val="00477FD8"/>
    <w:rsid w:val="0048116A"/>
    <w:rsid w:val="00481E91"/>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9EB"/>
    <w:rsid w:val="00496B44"/>
    <w:rsid w:val="00497381"/>
    <w:rsid w:val="00497593"/>
    <w:rsid w:val="0049786B"/>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6E6"/>
    <w:rsid w:val="004B0917"/>
    <w:rsid w:val="004B1296"/>
    <w:rsid w:val="004B153E"/>
    <w:rsid w:val="004B170F"/>
    <w:rsid w:val="004B1890"/>
    <w:rsid w:val="004B1BD6"/>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396F"/>
    <w:rsid w:val="004C4428"/>
    <w:rsid w:val="004C45D2"/>
    <w:rsid w:val="004C4694"/>
    <w:rsid w:val="004C560D"/>
    <w:rsid w:val="004C5CFF"/>
    <w:rsid w:val="004C7253"/>
    <w:rsid w:val="004C7D18"/>
    <w:rsid w:val="004D121D"/>
    <w:rsid w:val="004D2392"/>
    <w:rsid w:val="004D267D"/>
    <w:rsid w:val="004D2D69"/>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7B0"/>
    <w:rsid w:val="004F6509"/>
    <w:rsid w:val="004F69DA"/>
    <w:rsid w:val="004F7205"/>
    <w:rsid w:val="004F75B6"/>
    <w:rsid w:val="004F7A9D"/>
    <w:rsid w:val="004F7E27"/>
    <w:rsid w:val="00500001"/>
    <w:rsid w:val="00500093"/>
    <w:rsid w:val="00500231"/>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07A4C"/>
    <w:rsid w:val="00510870"/>
    <w:rsid w:val="00510E40"/>
    <w:rsid w:val="00510F57"/>
    <w:rsid w:val="00511867"/>
    <w:rsid w:val="00511CAB"/>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D86"/>
    <w:rsid w:val="005317FA"/>
    <w:rsid w:val="00531B95"/>
    <w:rsid w:val="00531F43"/>
    <w:rsid w:val="00532568"/>
    <w:rsid w:val="005329C7"/>
    <w:rsid w:val="00533D8E"/>
    <w:rsid w:val="00534A20"/>
    <w:rsid w:val="0053535E"/>
    <w:rsid w:val="00536226"/>
    <w:rsid w:val="0053678B"/>
    <w:rsid w:val="005369F6"/>
    <w:rsid w:val="00537378"/>
    <w:rsid w:val="0053744A"/>
    <w:rsid w:val="005377CD"/>
    <w:rsid w:val="00537E77"/>
    <w:rsid w:val="0054067C"/>
    <w:rsid w:val="00540FF4"/>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3E"/>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6C2"/>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09F"/>
    <w:rsid w:val="00580B1D"/>
    <w:rsid w:val="00580BF9"/>
    <w:rsid w:val="00581C61"/>
    <w:rsid w:val="00582CF2"/>
    <w:rsid w:val="0058334F"/>
    <w:rsid w:val="00583533"/>
    <w:rsid w:val="0058395F"/>
    <w:rsid w:val="00583CAD"/>
    <w:rsid w:val="00584A81"/>
    <w:rsid w:val="00584F0B"/>
    <w:rsid w:val="005852D6"/>
    <w:rsid w:val="0058548B"/>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5C"/>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6CC5"/>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DC7"/>
    <w:rsid w:val="005D0F6A"/>
    <w:rsid w:val="005D2078"/>
    <w:rsid w:val="005D3F56"/>
    <w:rsid w:val="005D4607"/>
    <w:rsid w:val="005D5922"/>
    <w:rsid w:val="005D63E5"/>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CC"/>
    <w:rsid w:val="005F19EF"/>
    <w:rsid w:val="005F1B89"/>
    <w:rsid w:val="005F20A7"/>
    <w:rsid w:val="005F252F"/>
    <w:rsid w:val="005F2D68"/>
    <w:rsid w:val="005F2D8C"/>
    <w:rsid w:val="005F3BCF"/>
    <w:rsid w:val="005F3E8C"/>
    <w:rsid w:val="005F3ECB"/>
    <w:rsid w:val="005F4FD6"/>
    <w:rsid w:val="005F5842"/>
    <w:rsid w:val="005F5F4D"/>
    <w:rsid w:val="005F6738"/>
    <w:rsid w:val="005F6856"/>
    <w:rsid w:val="005F6E92"/>
    <w:rsid w:val="005F6EC8"/>
    <w:rsid w:val="005F7410"/>
    <w:rsid w:val="005F7854"/>
    <w:rsid w:val="005F7A73"/>
    <w:rsid w:val="006006EF"/>
    <w:rsid w:val="00601D11"/>
    <w:rsid w:val="006020F2"/>
    <w:rsid w:val="006021EE"/>
    <w:rsid w:val="0060222A"/>
    <w:rsid w:val="006028AE"/>
    <w:rsid w:val="00602954"/>
    <w:rsid w:val="00603667"/>
    <w:rsid w:val="00603682"/>
    <w:rsid w:val="00604043"/>
    <w:rsid w:val="00604390"/>
    <w:rsid w:val="006055B7"/>
    <w:rsid w:val="0060566F"/>
    <w:rsid w:val="006066C2"/>
    <w:rsid w:val="00606A34"/>
    <w:rsid w:val="00606E72"/>
    <w:rsid w:val="00606EAF"/>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0E2"/>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3EA9"/>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01"/>
    <w:rsid w:val="00652A70"/>
    <w:rsid w:val="00652FB4"/>
    <w:rsid w:val="0065310B"/>
    <w:rsid w:val="0065318A"/>
    <w:rsid w:val="00653208"/>
    <w:rsid w:val="0065370E"/>
    <w:rsid w:val="00653EBF"/>
    <w:rsid w:val="00654B5B"/>
    <w:rsid w:val="00654E97"/>
    <w:rsid w:val="00655C60"/>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76"/>
    <w:rsid w:val="006824FC"/>
    <w:rsid w:val="00682801"/>
    <w:rsid w:val="00683191"/>
    <w:rsid w:val="00683D5E"/>
    <w:rsid w:val="0068405B"/>
    <w:rsid w:val="006842E0"/>
    <w:rsid w:val="00684A67"/>
    <w:rsid w:val="006855C4"/>
    <w:rsid w:val="00685891"/>
    <w:rsid w:val="00685C36"/>
    <w:rsid w:val="00685C46"/>
    <w:rsid w:val="006863F9"/>
    <w:rsid w:val="0068754E"/>
    <w:rsid w:val="00687BF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0E16"/>
    <w:rsid w:val="006A1351"/>
    <w:rsid w:val="006A1434"/>
    <w:rsid w:val="006A19BB"/>
    <w:rsid w:val="006A1E1E"/>
    <w:rsid w:val="006A21AD"/>
    <w:rsid w:val="006A257D"/>
    <w:rsid w:val="006A2C99"/>
    <w:rsid w:val="006A3351"/>
    <w:rsid w:val="006A3427"/>
    <w:rsid w:val="006A4331"/>
    <w:rsid w:val="006A5E12"/>
    <w:rsid w:val="006A6960"/>
    <w:rsid w:val="006A6D49"/>
    <w:rsid w:val="006A6D78"/>
    <w:rsid w:val="006A733B"/>
    <w:rsid w:val="006B023A"/>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4EE3"/>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4EF"/>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D32"/>
    <w:rsid w:val="006F7205"/>
    <w:rsid w:val="006F7FD0"/>
    <w:rsid w:val="007008B6"/>
    <w:rsid w:val="00701F70"/>
    <w:rsid w:val="00704946"/>
    <w:rsid w:val="00705A34"/>
    <w:rsid w:val="00705FA8"/>
    <w:rsid w:val="007069C1"/>
    <w:rsid w:val="00706CF8"/>
    <w:rsid w:val="00706D5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548"/>
    <w:rsid w:val="00725726"/>
    <w:rsid w:val="00725D3B"/>
    <w:rsid w:val="00725F29"/>
    <w:rsid w:val="00726363"/>
    <w:rsid w:val="00726369"/>
    <w:rsid w:val="00727717"/>
    <w:rsid w:val="00730402"/>
    <w:rsid w:val="00730A99"/>
    <w:rsid w:val="007314BF"/>
    <w:rsid w:val="0073178F"/>
    <w:rsid w:val="00731EA0"/>
    <w:rsid w:val="007328FC"/>
    <w:rsid w:val="0073304B"/>
    <w:rsid w:val="007336B7"/>
    <w:rsid w:val="0073377F"/>
    <w:rsid w:val="007342F2"/>
    <w:rsid w:val="00734E53"/>
    <w:rsid w:val="00735CE8"/>
    <w:rsid w:val="00736B02"/>
    <w:rsid w:val="00737B41"/>
    <w:rsid w:val="007404C9"/>
    <w:rsid w:val="0074191C"/>
    <w:rsid w:val="00741B20"/>
    <w:rsid w:val="00741F73"/>
    <w:rsid w:val="007428F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5B5"/>
    <w:rsid w:val="007535D6"/>
    <w:rsid w:val="00753604"/>
    <w:rsid w:val="007543DA"/>
    <w:rsid w:val="007546A8"/>
    <w:rsid w:val="0075497E"/>
    <w:rsid w:val="00754EC4"/>
    <w:rsid w:val="007563EB"/>
    <w:rsid w:val="007579E6"/>
    <w:rsid w:val="0076001B"/>
    <w:rsid w:val="007603BD"/>
    <w:rsid w:val="0076048E"/>
    <w:rsid w:val="007604F8"/>
    <w:rsid w:val="00760824"/>
    <w:rsid w:val="00760E50"/>
    <w:rsid w:val="0076129C"/>
    <w:rsid w:val="00761AC6"/>
    <w:rsid w:val="00761B4E"/>
    <w:rsid w:val="00761DE0"/>
    <w:rsid w:val="007622D7"/>
    <w:rsid w:val="00762723"/>
    <w:rsid w:val="0076350C"/>
    <w:rsid w:val="00763F2F"/>
    <w:rsid w:val="007640C9"/>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0CAE"/>
    <w:rsid w:val="00771573"/>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36E"/>
    <w:rsid w:val="007866C8"/>
    <w:rsid w:val="007866D4"/>
    <w:rsid w:val="007873FC"/>
    <w:rsid w:val="0078778D"/>
    <w:rsid w:val="00787B99"/>
    <w:rsid w:val="007900EC"/>
    <w:rsid w:val="0079078A"/>
    <w:rsid w:val="00790F9B"/>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99A"/>
    <w:rsid w:val="007D2D70"/>
    <w:rsid w:val="007D2FF5"/>
    <w:rsid w:val="007D37E3"/>
    <w:rsid w:val="007D3E74"/>
    <w:rsid w:val="007D3EE1"/>
    <w:rsid w:val="007D49AD"/>
    <w:rsid w:val="007D4B89"/>
    <w:rsid w:val="007D53D8"/>
    <w:rsid w:val="007D59D6"/>
    <w:rsid w:val="007D62DB"/>
    <w:rsid w:val="007E0885"/>
    <w:rsid w:val="007E11B2"/>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67A"/>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4F7"/>
    <w:rsid w:val="00821637"/>
    <w:rsid w:val="008219F5"/>
    <w:rsid w:val="00822F8F"/>
    <w:rsid w:val="008237F4"/>
    <w:rsid w:val="00823FA6"/>
    <w:rsid w:val="008240A5"/>
    <w:rsid w:val="00824195"/>
    <w:rsid w:val="00824529"/>
    <w:rsid w:val="008255D4"/>
    <w:rsid w:val="0082600F"/>
    <w:rsid w:val="008266B3"/>
    <w:rsid w:val="00826B80"/>
    <w:rsid w:val="008275C3"/>
    <w:rsid w:val="0082779D"/>
    <w:rsid w:val="00827F78"/>
    <w:rsid w:val="0083175B"/>
    <w:rsid w:val="00832372"/>
    <w:rsid w:val="0083344F"/>
    <w:rsid w:val="0083364C"/>
    <w:rsid w:val="008343A2"/>
    <w:rsid w:val="00834AF3"/>
    <w:rsid w:val="00835FD0"/>
    <w:rsid w:val="0083688F"/>
    <w:rsid w:val="00836AEB"/>
    <w:rsid w:val="00836CA1"/>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57A54"/>
    <w:rsid w:val="00861482"/>
    <w:rsid w:val="00862330"/>
    <w:rsid w:val="008626DD"/>
    <w:rsid w:val="00862D81"/>
    <w:rsid w:val="00863A02"/>
    <w:rsid w:val="00864CBA"/>
    <w:rsid w:val="00864CEF"/>
    <w:rsid w:val="00865E4C"/>
    <w:rsid w:val="008662FE"/>
    <w:rsid w:val="008667F9"/>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53D"/>
    <w:rsid w:val="008818C6"/>
    <w:rsid w:val="0088198E"/>
    <w:rsid w:val="00881CBA"/>
    <w:rsid w:val="008820E7"/>
    <w:rsid w:val="00882308"/>
    <w:rsid w:val="00882E35"/>
    <w:rsid w:val="0088367D"/>
    <w:rsid w:val="00883C2A"/>
    <w:rsid w:val="00884D79"/>
    <w:rsid w:val="00884EF5"/>
    <w:rsid w:val="0088556B"/>
    <w:rsid w:val="00886272"/>
    <w:rsid w:val="00886277"/>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462"/>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37E1"/>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605"/>
    <w:rsid w:val="00915659"/>
    <w:rsid w:val="00915D84"/>
    <w:rsid w:val="009160AF"/>
    <w:rsid w:val="00916A54"/>
    <w:rsid w:val="009171EC"/>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0AAB"/>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16"/>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0FC"/>
    <w:rsid w:val="009612E1"/>
    <w:rsid w:val="0096199A"/>
    <w:rsid w:val="00961B00"/>
    <w:rsid w:val="00961DB6"/>
    <w:rsid w:val="0096266C"/>
    <w:rsid w:val="00963481"/>
    <w:rsid w:val="009648FE"/>
    <w:rsid w:val="0096610D"/>
    <w:rsid w:val="0096629F"/>
    <w:rsid w:val="009702EA"/>
    <w:rsid w:val="00970310"/>
    <w:rsid w:val="009706EE"/>
    <w:rsid w:val="00970A93"/>
    <w:rsid w:val="00971144"/>
    <w:rsid w:val="00971A2F"/>
    <w:rsid w:val="00971A75"/>
    <w:rsid w:val="00971E99"/>
    <w:rsid w:val="0097326F"/>
    <w:rsid w:val="00973613"/>
    <w:rsid w:val="00973AFC"/>
    <w:rsid w:val="0097432F"/>
    <w:rsid w:val="0097465D"/>
    <w:rsid w:val="0097492D"/>
    <w:rsid w:val="00974B01"/>
    <w:rsid w:val="009753C5"/>
    <w:rsid w:val="009758E7"/>
    <w:rsid w:val="00975B0F"/>
    <w:rsid w:val="009766F7"/>
    <w:rsid w:val="009768AB"/>
    <w:rsid w:val="00977E68"/>
    <w:rsid w:val="00980A4D"/>
    <w:rsid w:val="00980F2C"/>
    <w:rsid w:val="00981FE3"/>
    <w:rsid w:val="0098222B"/>
    <w:rsid w:val="009822A3"/>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174"/>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A6B"/>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C7AA7"/>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161"/>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6B9D"/>
    <w:rsid w:val="00A176B0"/>
    <w:rsid w:val="00A20018"/>
    <w:rsid w:val="00A20043"/>
    <w:rsid w:val="00A21499"/>
    <w:rsid w:val="00A239BD"/>
    <w:rsid w:val="00A23F48"/>
    <w:rsid w:val="00A25808"/>
    <w:rsid w:val="00A2643B"/>
    <w:rsid w:val="00A26B00"/>
    <w:rsid w:val="00A271D5"/>
    <w:rsid w:val="00A27426"/>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A2A"/>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89B"/>
    <w:rsid w:val="00A46BE5"/>
    <w:rsid w:val="00A46FB2"/>
    <w:rsid w:val="00A4759D"/>
    <w:rsid w:val="00A4760B"/>
    <w:rsid w:val="00A4775D"/>
    <w:rsid w:val="00A47B1F"/>
    <w:rsid w:val="00A50A94"/>
    <w:rsid w:val="00A5126D"/>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0F93"/>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5FBB"/>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864"/>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266"/>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179C"/>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375"/>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FFD"/>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6748C"/>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43F"/>
    <w:rsid w:val="00B905E8"/>
    <w:rsid w:val="00B90909"/>
    <w:rsid w:val="00B92094"/>
    <w:rsid w:val="00B92837"/>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0B5"/>
    <w:rsid w:val="00BA11FE"/>
    <w:rsid w:val="00BA13A8"/>
    <w:rsid w:val="00BA13E6"/>
    <w:rsid w:val="00BA16B8"/>
    <w:rsid w:val="00BA1B18"/>
    <w:rsid w:val="00BA2B2B"/>
    <w:rsid w:val="00BA2EC1"/>
    <w:rsid w:val="00BA3836"/>
    <w:rsid w:val="00BA3B6B"/>
    <w:rsid w:val="00BA494C"/>
    <w:rsid w:val="00BA4A2B"/>
    <w:rsid w:val="00BA4FFB"/>
    <w:rsid w:val="00BA54C1"/>
    <w:rsid w:val="00BA5735"/>
    <w:rsid w:val="00BA5A59"/>
    <w:rsid w:val="00BA5B96"/>
    <w:rsid w:val="00BA6C1B"/>
    <w:rsid w:val="00BA7024"/>
    <w:rsid w:val="00BA7467"/>
    <w:rsid w:val="00BA7503"/>
    <w:rsid w:val="00BA76CB"/>
    <w:rsid w:val="00BA7C4B"/>
    <w:rsid w:val="00BB0303"/>
    <w:rsid w:val="00BB0A73"/>
    <w:rsid w:val="00BB1AB8"/>
    <w:rsid w:val="00BB215E"/>
    <w:rsid w:val="00BB2267"/>
    <w:rsid w:val="00BB23C8"/>
    <w:rsid w:val="00BB25F2"/>
    <w:rsid w:val="00BB2BAD"/>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0C"/>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A92"/>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4B2"/>
    <w:rsid w:val="00BF4DD0"/>
    <w:rsid w:val="00BF4F0E"/>
    <w:rsid w:val="00BF4FFE"/>
    <w:rsid w:val="00BF512E"/>
    <w:rsid w:val="00BF5464"/>
    <w:rsid w:val="00BF5E7D"/>
    <w:rsid w:val="00BF6E58"/>
    <w:rsid w:val="00BF737B"/>
    <w:rsid w:val="00BF7B80"/>
    <w:rsid w:val="00C00223"/>
    <w:rsid w:val="00C004D0"/>
    <w:rsid w:val="00C00A5B"/>
    <w:rsid w:val="00C00B62"/>
    <w:rsid w:val="00C00E22"/>
    <w:rsid w:val="00C018C1"/>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51B"/>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7378"/>
    <w:rsid w:val="00C3785A"/>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ADC"/>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4F18"/>
    <w:rsid w:val="00C659F6"/>
    <w:rsid w:val="00C65F87"/>
    <w:rsid w:val="00C66086"/>
    <w:rsid w:val="00C663AB"/>
    <w:rsid w:val="00C66EF4"/>
    <w:rsid w:val="00C674B2"/>
    <w:rsid w:val="00C67926"/>
    <w:rsid w:val="00C67B3D"/>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1406"/>
    <w:rsid w:val="00C92478"/>
    <w:rsid w:val="00C928F4"/>
    <w:rsid w:val="00C930DB"/>
    <w:rsid w:val="00C93101"/>
    <w:rsid w:val="00C93713"/>
    <w:rsid w:val="00C937B4"/>
    <w:rsid w:val="00C93941"/>
    <w:rsid w:val="00C93D73"/>
    <w:rsid w:val="00C94205"/>
    <w:rsid w:val="00C949F7"/>
    <w:rsid w:val="00C95777"/>
    <w:rsid w:val="00C95E90"/>
    <w:rsid w:val="00C9683D"/>
    <w:rsid w:val="00C96868"/>
    <w:rsid w:val="00C9740D"/>
    <w:rsid w:val="00C97710"/>
    <w:rsid w:val="00C97A7E"/>
    <w:rsid w:val="00CA0457"/>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13F"/>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897"/>
    <w:rsid w:val="00CC5911"/>
    <w:rsid w:val="00CC5FE0"/>
    <w:rsid w:val="00CC607B"/>
    <w:rsid w:val="00CC623C"/>
    <w:rsid w:val="00CC62B7"/>
    <w:rsid w:val="00CC63B8"/>
    <w:rsid w:val="00CC72B3"/>
    <w:rsid w:val="00CC73E1"/>
    <w:rsid w:val="00CC7BF6"/>
    <w:rsid w:val="00CD0453"/>
    <w:rsid w:val="00CD0571"/>
    <w:rsid w:val="00CD163A"/>
    <w:rsid w:val="00CD2850"/>
    <w:rsid w:val="00CD3167"/>
    <w:rsid w:val="00CD3256"/>
    <w:rsid w:val="00CD38C6"/>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200"/>
    <w:rsid w:val="00CE3390"/>
    <w:rsid w:val="00CE3703"/>
    <w:rsid w:val="00CE3932"/>
    <w:rsid w:val="00CE409A"/>
    <w:rsid w:val="00CE4498"/>
    <w:rsid w:val="00CE5B77"/>
    <w:rsid w:val="00CE5BEB"/>
    <w:rsid w:val="00CE61D4"/>
    <w:rsid w:val="00CE6355"/>
    <w:rsid w:val="00CE6B9A"/>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937"/>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510"/>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4B22"/>
    <w:rsid w:val="00D25C46"/>
    <w:rsid w:val="00D25D5D"/>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EB"/>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F7"/>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2F55"/>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2DE"/>
    <w:rsid w:val="00D6605C"/>
    <w:rsid w:val="00D66273"/>
    <w:rsid w:val="00D66CE0"/>
    <w:rsid w:val="00D6768A"/>
    <w:rsid w:val="00D6796B"/>
    <w:rsid w:val="00D67B8B"/>
    <w:rsid w:val="00D709EC"/>
    <w:rsid w:val="00D71D0D"/>
    <w:rsid w:val="00D72138"/>
    <w:rsid w:val="00D727B7"/>
    <w:rsid w:val="00D72AB1"/>
    <w:rsid w:val="00D72E50"/>
    <w:rsid w:val="00D72EE1"/>
    <w:rsid w:val="00D72EFB"/>
    <w:rsid w:val="00D7354C"/>
    <w:rsid w:val="00D747E3"/>
    <w:rsid w:val="00D749D0"/>
    <w:rsid w:val="00D74FC3"/>
    <w:rsid w:val="00D74FCE"/>
    <w:rsid w:val="00D766CA"/>
    <w:rsid w:val="00D766CC"/>
    <w:rsid w:val="00D76B87"/>
    <w:rsid w:val="00D77158"/>
    <w:rsid w:val="00D77876"/>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5FDD"/>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106"/>
    <w:rsid w:val="00DA48AA"/>
    <w:rsid w:val="00DA4A27"/>
    <w:rsid w:val="00DA54F1"/>
    <w:rsid w:val="00DA5677"/>
    <w:rsid w:val="00DA5952"/>
    <w:rsid w:val="00DA6252"/>
    <w:rsid w:val="00DA6817"/>
    <w:rsid w:val="00DA6A53"/>
    <w:rsid w:val="00DB0269"/>
    <w:rsid w:val="00DB0325"/>
    <w:rsid w:val="00DB0758"/>
    <w:rsid w:val="00DB0B9A"/>
    <w:rsid w:val="00DB0D38"/>
    <w:rsid w:val="00DB1715"/>
    <w:rsid w:val="00DB1DB7"/>
    <w:rsid w:val="00DB21C3"/>
    <w:rsid w:val="00DB239A"/>
    <w:rsid w:val="00DB2C7B"/>
    <w:rsid w:val="00DB3181"/>
    <w:rsid w:val="00DB320E"/>
    <w:rsid w:val="00DB3534"/>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7FF"/>
    <w:rsid w:val="00E02B36"/>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02F4"/>
    <w:rsid w:val="00E20DE6"/>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E56"/>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492"/>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AEF"/>
    <w:rsid w:val="00E66B36"/>
    <w:rsid w:val="00E66E96"/>
    <w:rsid w:val="00E708A2"/>
    <w:rsid w:val="00E71176"/>
    <w:rsid w:val="00E71743"/>
    <w:rsid w:val="00E71A6C"/>
    <w:rsid w:val="00E71D96"/>
    <w:rsid w:val="00E71E4F"/>
    <w:rsid w:val="00E721E5"/>
    <w:rsid w:val="00E72764"/>
    <w:rsid w:val="00E735A3"/>
    <w:rsid w:val="00E740AA"/>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285"/>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6"/>
    <w:rsid w:val="00E90F4F"/>
    <w:rsid w:val="00E9108A"/>
    <w:rsid w:val="00E91D86"/>
    <w:rsid w:val="00E9212B"/>
    <w:rsid w:val="00E92792"/>
    <w:rsid w:val="00E937DC"/>
    <w:rsid w:val="00E939F3"/>
    <w:rsid w:val="00E95417"/>
    <w:rsid w:val="00E96383"/>
    <w:rsid w:val="00E97EB1"/>
    <w:rsid w:val="00EA0275"/>
    <w:rsid w:val="00EA1595"/>
    <w:rsid w:val="00EA161C"/>
    <w:rsid w:val="00EA232F"/>
    <w:rsid w:val="00EA2669"/>
    <w:rsid w:val="00EA2C7A"/>
    <w:rsid w:val="00EA3BBD"/>
    <w:rsid w:val="00EA3E41"/>
    <w:rsid w:val="00EA45CD"/>
    <w:rsid w:val="00EA467E"/>
    <w:rsid w:val="00EA49DC"/>
    <w:rsid w:val="00EA4CAC"/>
    <w:rsid w:val="00EA4FE6"/>
    <w:rsid w:val="00EA52BE"/>
    <w:rsid w:val="00EA6260"/>
    <w:rsid w:val="00EA6887"/>
    <w:rsid w:val="00EA690F"/>
    <w:rsid w:val="00EA6E8D"/>
    <w:rsid w:val="00EA709C"/>
    <w:rsid w:val="00EB0848"/>
    <w:rsid w:val="00EB0950"/>
    <w:rsid w:val="00EB09E5"/>
    <w:rsid w:val="00EB0F0D"/>
    <w:rsid w:val="00EB1583"/>
    <w:rsid w:val="00EB1D24"/>
    <w:rsid w:val="00EB28B2"/>
    <w:rsid w:val="00EB30E0"/>
    <w:rsid w:val="00EB4A7A"/>
    <w:rsid w:val="00EB564D"/>
    <w:rsid w:val="00EB5B7C"/>
    <w:rsid w:val="00EB5BAB"/>
    <w:rsid w:val="00EB5C86"/>
    <w:rsid w:val="00EB5F04"/>
    <w:rsid w:val="00EB5FD4"/>
    <w:rsid w:val="00EB735D"/>
    <w:rsid w:val="00EC0254"/>
    <w:rsid w:val="00EC0419"/>
    <w:rsid w:val="00EC09DC"/>
    <w:rsid w:val="00EC1486"/>
    <w:rsid w:val="00EC1E06"/>
    <w:rsid w:val="00EC27AF"/>
    <w:rsid w:val="00EC28CB"/>
    <w:rsid w:val="00EC29B4"/>
    <w:rsid w:val="00EC2EBE"/>
    <w:rsid w:val="00EC3757"/>
    <w:rsid w:val="00EC3CE3"/>
    <w:rsid w:val="00EC3F8D"/>
    <w:rsid w:val="00EC4067"/>
    <w:rsid w:val="00EC443F"/>
    <w:rsid w:val="00EC45F3"/>
    <w:rsid w:val="00EC57D3"/>
    <w:rsid w:val="00EC5BD8"/>
    <w:rsid w:val="00EC60AF"/>
    <w:rsid w:val="00EC6205"/>
    <w:rsid w:val="00EC6A8E"/>
    <w:rsid w:val="00EC77A5"/>
    <w:rsid w:val="00EC7B3E"/>
    <w:rsid w:val="00ED0C38"/>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E7E98"/>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910"/>
    <w:rsid w:val="00F14D62"/>
    <w:rsid w:val="00F15016"/>
    <w:rsid w:val="00F1522C"/>
    <w:rsid w:val="00F15309"/>
    <w:rsid w:val="00F158C7"/>
    <w:rsid w:val="00F15ACE"/>
    <w:rsid w:val="00F160B7"/>
    <w:rsid w:val="00F16596"/>
    <w:rsid w:val="00F168FF"/>
    <w:rsid w:val="00F17065"/>
    <w:rsid w:val="00F1730D"/>
    <w:rsid w:val="00F177E4"/>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3D0"/>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3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5E2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070"/>
    <w:rsid w:val="00F81EA7"/>
    <w:rsid w:val="00F82449"/>
    <w:rsid w:val="00F831F6"/>
    <w:rsid w:val="00F83564"/>
    <w:rsid w:val="00F8398B"/>
    <w:rsid w:val="00F83A24"/>
    <w:rsid w:val="00F83C23"/>
    <w:rsid w:val="00F84D35"/>
    <w:rsid w:val="00F856D2"/>
    <w:rsid w:val="00F857CF"/>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01"/>
    <w:rsid w:val="00F94234"/>
    <w:rsid w:val="00F94689"/>
    <w:rsid w:val="00F9489D"/>
    <w:rsid w:val="00F950FB"/>
    <w:rsid w:val="00F95BA8"/>
    <w:rsid w:val="00F9660B"/>
    <w:rsid w:val="00F96C11"/>
    <w:rsid w:val="00F96DBE"/>
    <w:rsid w:val="00F97070"/>
    <w:rsid w:val="00F97DBE"/>
    <w:rsid w:val="00F97FC5"/>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53BA"/>
    <w:rsid w:val="00FB6324"/>
    <w:rsid w:val="00FB6826"/>
    <w:rsid w:val="00FB7B33"/>
    <w:rsid w:val="00FC0026"/>
    <w:rsid w:val="00FC00A6"/>
    <w:rsid w:val="00FC0D2F"/>
    <w:rsid w:val="00FC160A"/>
    <w:rsid w:val="00FC2178"/>
    <w:rsid w:val="00FC22C4"/>
    <w:rsid w:val="00FC269C"/>
    <w:rsid w:val="00FC3598"/>
    <w:rsid w:val="00FC3A34"/>
    <w:rsid w:val="00FC3F72"/>
    <w:rsid w:val="00FC4003"/>
    <w:rsid w:val="00FC42D2"/>
    <w:rsid w:val="00FC4B02"/>
    <w:rsid w:val="00FC4BC1"/>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68D"/>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D5C67D"/>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character" w:customStyle="1" w:styleId="12">
    <w:name w:val="列出段落 字符1"/>
    <w:aliases w:val="- Bullets 字符1,목록 단락 字符1,リスト段落 字符1,Lista1 字符1,?? ?? 字符1,????? 字符1,???? 字符1,列出段落1 字符1,中等深浅网格 1 - 着色 21 字符1"/>
    <w:uiPriority w:val="34"/>
    <w:locked/>
    <w:rsid w:val="00527D8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9AA6B-EE10-465F-8133-C0DAE783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2021-01-14T15:36:00Z</dcterms:created>
  <dcterms:modified xsi:type="dcterms:W3CDTF">2021-01-14T15:36:00Z</dcterms:modified>
</cp:coreProperties>
</file>